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40A77" w14:textId="5F5A5C81" w:rsidR="00254BE3" w:rsidRPr="00254BE3" w:rsidRDefault="00BB2799" w:rsidP="00254BE3">
      <w:pPr>
        <w:pStyle w:val="BOPVTitulo"/>
        <w:jc w:val="both"/>
        <w:rPr>
          <w:rFonts w:ascii="Garamond" w:hAnsi="Garamond"/>
          <w:sz w:val="24"/>
          <w:szCs w:val="24"/>
        </w:rPr>
      </w:pPr>
      <w:r>
        <w:rPr>
          <w:rFonts w:ascii="Garamond" w:hAnsi="Garamond"/>
          <w:sz w:val="24"/>
          <w:szCs w:val="24"/>
        </w:rPr>
        <w:t xml:space="preserve">…./2021 </w:t>
      </w:r>
      <w:r w:rsidR="00254BE3" w:rsidRPr="00254BE3">
        <w:rPr>
          <w:rFonts w:ascii="Garamond" w:hAnsi="Garamond"/>
          <w:sz w:val="24"/>
          <w:szCs w:val="24"/>
        </w:rPr>
        <w:t>LEGEA, ………AREN …(E)KOA, KIROLEKO DOPINAREN AURKAKO EKAINAREN 21EKO 12/2012</w:t>
      </w:r>
      <w:r w:rsidR="001C18B0">
        <w:rPr>
          <w:rFonts w:ascii="Garamond" w:hAnsi="Garamond"/>
          <w:sz w:val="24"/>
          <w:szCs w:val="24"/>
        </w:rPr>
        <w:t xml:space="preserve"> </w:t>
      </w:r>
      <w:r w:rsidR="00254BE3" w:rsidRPr="00254BE3">
        <w:rPr>
          <w:rFonts w:ascii="Garamond" w:hAnsi="Garamond"/>
          <w:sz w:val="24"/>
          <w:szCs w:val="24"/>
        </w:rPr>
        <w:t>LEGEA ALDATZEKOA.</w:t>
      </w:r>
    </w:p>
    <w:p w14:paraId="24F25FAF" w14:textId="5306F190" w:rsidR="00254BE3" w:rsidRPr="00254BE3" w:rsidRDefault="00C90FAE" w:rsidP="00C90FAE">
      <w:pPr>
        <w:pStyle w:val="BOPVClave"/>
        <w:rPr>
          <w:rFonts w:ascii="Garamond" w:hAnsi="Garamond"/>
          <w:sz w:val="24"/>
          <w:szCs w:val="24"/>
        </w:rPr>
      </w:pPr>
      <w:r>
        <w:rPr>
          <w:rFonts w:ascii="Garamond" w:hAnsi="Garamond"/>
          <w:sz w:val="24"/>
          <w:szCs w:val="24"/>
        </w:rPr>
        <w:t>ZIOEN ADIERAZPENA</w:t>
      </w:r>
      <w:bookmarkStart w:id="0" w:name="_GoBack"/>
      <w:bookmarkEnd w:id="0"/>
    </w:p>
    <w:p w14:paraId="014D7825"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Eusko Legebiltzarrak Kiroleko Dopinaren aurkako ekainaren 21eko 12/2012 Legea onartu zuen, eta, horretarako, kiroleko dopinaren aurkako borrokan nazioartean aurreratuen dauden erakundeek onartutako printzipioak erabili ziren. Lehiaketa-kirolaren egitura piramidala denez, eta kirol-lehiaketek elkarren artean lotura dutenez lurralde-eremuetan eta -mailetan, esparru juridiko komuna behar da kiroleko dopinaren aurkako borrokan aritzeko.</w:t>
      </w:r>
    </w:p>
    <w:p w14:paraId="1406E66E"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Hori dela eta, 2003. urtean, Dopinaren aurkako Mundu Agentziak Dopinaren aurkako Mundu Kodea idatzi zuen, eta kode horren osagarri diren nazioarteko estandarrak ere zehaztu zituen. Testu horiek nazioarteko kirol-mugimenduak derrigor bete beharreko arau eta jarraibideen multzoa dira, eta horrekin batera, baita beharrezko erreferentzia ere dopinaren aurkako borrokan esku hartzen ari diren erakunde publikoentzat ere. Ekimen horien ondorioz, Unescok, 2005eko urriaren 19an izandako bileran, Kiroleko Dopinaren aurkako Nazioarteko Konbentzioa onartu zuen. Espainiak ere berretsi duen konbentzio hori (2007ko otsailaren 16ko Estatuaren Aldizkari Ofizialean argitaratu zen) gure ordenamendu juridikoaren zati bat da, Konstituzioaren 96. artikuluan xedatutakoaren arabera. Nahiz eta Dopinaren aurkako Mundu Kodea ez izan konbentzioaren zati bat, konbentzioak dio sinatzaileak behartuta daudela kodeko printzipioak errespetatzera, kiroleko dopinaren aurkako borroka-moldeak estatu mailan eta nazioarte mailan koordinatzeari begira.</w:t>
      </w:r>
    </w:p>
    <w:p w14:paraId="67C2CC46"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Aipatu beharra dago Kiroleko Dopinaren aurkako ekainaren 21eko 12/2012 Legean aldaketa bat egin zela jada, ekainaren 7ko 1/2018 Legearen bitartez (2018ko ekainaren 13ko Euskal Herriko Agintaritzaren Aldizkaria). Orduan, ekainaren 7ko 1/2018 Legearen bidez, Kiroleko Dopinaren aurkako ekainaren 21eko 12/2012 Legea Dopinaren aurkako Mundu Kodera egokitu zen, zeina Johannesburgen (Hegoafrika) onartu baitzen, 2013ko azaroaren 12tik 15era bitartean egindako Dopinaren aurkako IV. Mundu Konferentzian, zenbait kirol-erakunde eta estaturen parte hartzearekin.</w:t>
      </w:r>
    </w:p>
    <w:p w14:paraId="37237541"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 xml:space="preserve">2019ko azaroaren 7an, Dopinaren aurkako V. Mundu Konferentzia egin zen </w:t>
      </w:r>
      <w:proofErr w:type="spellStart"/>
      <w:r w:rsidRPr="00254BE3">
        <w:rPr>
          <w:rFonts w:ascii="Garamond" w:hAnsi="Garamond"/>
          <w:sz w:val="24"/>
          <w:szCs w:val="24"/>
        </w:rPr>
        <w:t>Katowicen</w:t>
      </w:r>
      <w:proofErr w:type="spellEnd"/>
      <w:r w:rsidRPr="00254BE3">
        <w:rPr>
          <w:rFonts w:ascii="Garamond" w:hAnsi="Garamond"/>
          <w:sz w:val="24"/>
          <w:szCs w:val="24"/>
        </w:rPr>
        <w:t xml:space="preserve"> (Polonia), zenbait kirol-erakunderen eta estaturen ordezkarien parte-hartzearekin, eta Dopinaren aurkako Mundu Kodea onartu zen. Bada, mundu kode hori 2021eko urtarrilaren 1ean jarri da indarrean.</w:t>
      </w:r>
    </w:p>
    <w:p w14:paraId="66561C46"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Hauexek dira kode berri horrek dakartzan aldaketa esanguratsuenak:</w:t>
      </w:r>
    </w:p>
    <w:p w14:paraId="10878538"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Legea interpretatzeko orduan, Dopinaren aurkako Mundu Kodean jasotako arauak eta irizpideak hartu behar dira oinarritzat, Dopinaren aurkako Mundu Agentziak onartutako eta argitaratutako nazioarteko estandarrak nahiz entitate horrek unean-unean ezarrita dituen dokumentu teknikoak barne.</w:t>
      </w:r>
    </w:p>
    <w:p w14:paraId="3A0E7C60"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 xml:space="preserve">Kirolariak zenbait </w:t>
      </w:r>
      <w:proofErr w:type="spellStart"/>
      <w:r w:rsidRPr="00254BE3">
        <w:rPr>
          <w:rFonts w:ascii="Garamond" w:hAnsi="Garamond"/>
          <w:sz w:val="24"/>
          <w:szCs w:val="24"/>
        </w:rPr>
        <w:t>motatakoak</w:t>
      </w:r>
      <w:proofErr w:type="spellEnd"/>
      <w:r w:rsidRPr="00254BE3">
        <w:rPr>
          <w:rFonts w:ascii="Garamond" w:hAnsi="Garamond"/>
          <w:sz w:val="24"/>
          <w:szCs w:val="24"/>
        </w:rPr>
        <w:t xml:space="preserve"> izan daitezke, kirol-maila batean ala bestean aritu (nazioartekoak ala ez), edo federatuak izan ala ez. Hain zuzen ere, kirolariei eska </w:t>
      </w:r>
      <w:proofErr w:type="spellStart"/>
      <w:r w:rsidRPr="00254BE3">
        <w:rPr>
          <w:rFonts w:ascii="Garamond" w:hAnsi="Garamond"/>
          <w:sz w:val="24"/>
          <w:szCs w:val="24"/>
        </w:rPr>
        <w:t>dakizkiekeen</w:t>
      </w:r>
      <w:proofErr w:type="spellEnd"/>
      <w:r w:rsidRPr="00254BE3">
        <w:rPr>
          <w:rFonts w:ascii="Garamond" w:hAnsi="Garamond"/>
          <w:sz w:val="24"/>
          <w:szCs w:val="24"/>
        </w:rPr>
        <w:t xml:space="preserve"> betebehar edo erantzukizun jakin batzuei dagokienez, kirolaria zein </w:t>
      </w:r>
      <w:proofErr w:type="spellStart"/>
      <w:r w:rsidRPr="00254BE3">
        <w:rPr>
          <w:rFonts w:ascii="Garamond" w:hAnsi="Garamond"/>
          <w:sz w:val="24"/>
          <w:szCs w:val="24"/>
        </w:rPr>
        <w:t>motatakoa</w:t>
      </w:r>
      <w:proofErr w:type="spellEnd"/>
      <w:r w:rsidRPr="00254BE3">
        <w:rPr>
          <w:rFonts w:ascii="Garamond" w:hAnsi="Garamond"/>
          <w:sz w:val="24"/>
          <w:szCs w:val="24"/>
        </w:rPr>
        <w:t xml:space="preserve"> den hartzen </w:t>
      </w:r>
      <w:r w:rsidRPr="00254BE3">
        <w:rPr>
          <w:rFonts w:ascii="Garamond" w:hAnsi="Garamond"/>
          <w:sz w:val="24"/>
          <w:szCs w:val="24"/>
        </w:rPr>
        <w:lastRenderedPageBreak/>
        <w:t>da kontuan.</w:t>
      </w:r>
    </w:p>
    <w:p w14:paraId="58C65035"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Dopinaren alorrean legez kontrakotzat hartzen diren jokabideen katalogoan ageri diren arau-hauste jakin batzuk aldatzen eta beste batzuk gehitzen dira.</w:t>
      </w:r>
    </w:p>
    <w:p w14:paraId="4AFFD938"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Dopin-kontroletan kirolariei hartutako laginak bitan banatzeko aukera ematen da, lagin horiek berriz ere analizatu ahal izateko balizko arau-hausteen preskripzio-epearen barruan.</w:t>
      </w:r>
    </w:p>
    <w:p w14:paraId="543D1C9F"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Pasaporte biologikoaren bideragarritasuna indartzen da, dopinaren alorreko arau-hauste jakin batzuk egin ote diren zehazteko tresna baliozko eta onargarri gisa.</w:t>
      </w:r>
    </w:p>
    <w:p w14:paraId="477FF373"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 xml:space="preserve">Ezartzen da </w:t>
      </w:r>
      <w:proofErr w:type="spellStart"/>
      <w:r w:rsidRPr="00254BE3">
        <w:rPr>
          <w:rFonts w:ascii="Garamond" w:hAnsi="Garamond"/>
          <w:sz w:val="24"/>
          <w:szCs w:val="24"/>
        </w:rPr>
        <w:t>dopatzaileen</w:t>
      </w:r>
      <w:proofErr w:type="spellEnd"/>
      <w:r w:rsidRPr="00254BE3">
        <w:rPr>
          <w:rFonts w:ascii="Garamond" w:hAnsi="Garamond"/>
          <w:sz w:val="24"/>
          <w:szCs w:val="24"/>
        </w:rPr>
        <w:t xml:space="preserve"> zerrendan badirela substantzia batzuk </w:t>
      </w:r>
      <w:proofErr w:type="spellStart"/>
      <w:r w:rsidRPr="00254BE3">
        <w:rPr>
          <w:rFonts w:ascii="Garamond" w:hAnsi="Garamond"/>
          <w:sz w:val="24"/>
          <w:szCs w:val="24"/>
        </w:rPr>
        <w:t>abusuzkotzat</w:t>
      </w:r>
      <w:proofErr w:type="spellEnd"/>
      <w:r w:rsidRPr="00254BE3">
        <w:rPr>
          <w:rFonts w:ascii="Garamond" w:hAnsi="Garamond"/>
          <w:sz w:val="24"/>
          <w:szCs w:val="24"/>
        </w:rPr>
        <w:t xml:space="preserve"> jotzen direnak. Substantzia horiek gizarte-eremu jakin batzuetan erabiltzen dira, aldizka, baina ez kirol-errendimendua hobetzeko asmoz.</w:t>
      </w:r>
    </w:p>
    <w:p w14:paraId="12AB6E01"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Ezartzen da berariazko zehapen-tratamendu bat aplikatuko dela kasu batzuetan, baldin eta arau-hausleak dopinaren aurkako agintaritzak proposatutako zehapena onartzen badu.</w:t>
      </w:r>
    </w:p>
    <w:p w14:paraId="55A7CD11"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Horiek direla eta, Euskadik nahitaez egokitu beharra dauka, berriro ere eta lehenbailehen, orain indarrean dagoen Kiroleko Dopinaren aurkako ekainaren 21eko 12/2012 Legea Dopinaren aurkako Mundu Kode berrira. Euskadin egin beharreko araudiaren egokitzapen hori gainerako kirol-erakundeek zein estatu edo herrialdeek xede edo helburu beraz egin dituzten edo egiten ari diren egokitzapenen berdina da.</w:t>
      </w:r>
    </w:p>
    <w:p w14:paraId="2172E191"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Lehenengo artikulua. 7. eta 8. apartatuak gehitzen zaizkio Kiroleko Dopinaren aurkako ekainaren 21eko 12/2012 Legearen 1. artikuluari. Honela geratuko dira apartatu horiek:</w:t>
      </w:r>
    </w:p>
    <w:p w14:paraId="4F4429BA"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 xml:space="preserve">«7.- Lege honetako arauak eta definizioak interpretatzeko orduan, kontuan hartuko dira, batetik, Dopinaren aurkako Mundu Kodean jasotako arauak eta irizpideak, bestetik, nazioarteko </w:t>
      </w:r>
      <w:proofErr w:type="spellStart"/>
      <w:r w:rsidRPr="00254BE3">
        <w:rPr>
          <w:rFonts w:ascii="Garamond" w:hAnsi="Garamond"/>
          <w:sz w:val="24"/>
          <w:szCs w:val="24"/>
        </w:rPr>
        <w:t>estandarretakoak</w:t>
      </w:r>
      <w:proofErr w:type="spellEnd"/>
      <w:r w:rsidRPr="00254BE3">
        <w:rPr>
          <w:rFonts w:ascii="Garamond" w:hAnsi="Garamond"/>
          <w:sz w:val="24"/>
          <w:szCs w:val="24"/>
        </w:rPr>
        <w:t>, eta azkenik, Dopinaren aurkako Mundu Agentziak onartutako Dopinaren aurkako Mundu Programa osatzen duten arau edo dokumentu teknikoetan bildutakoak.</w:t>
      </w:r>
    </w:p>
    <w:p w14:paraId="0501AB4D"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8.- Lege honen ondorioetarako, kirolariak maila hauetan sailkatzen dira:</w:t>
      </w:r>
    </w:p>
    <w:p w14:paraId="2C155D93"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Nazioarte mailako federatuak: federatuta dauden eta, horrez gain, haien emaitzak edo irizpideak direla-eta, dagokion nazioarteko federazioak federatutzat jotzen dituen pertsonak.</w:t>
      </w:r>
    </w:p>
    <w:p w14:paraId="4AB39782"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 xml:space="preserve">Nazioarte mailaz besteko federatuak: federatuta egon arren nazioarte mailakotzat jotzen ez diren pertsonak. Era berean, halakotzat hartuko dira federazio-lizentziaren indarraldia amaitu zaiela-eta une jakin batean federatuta ez egon arren berriro federatuta egongo direla eta kirol-jarduera garatzen jarraituko dutela </w:t>
      </w:r>
      <w:proofErr w:type="spellStart"/>
      <w:r w:rsidRPr="00254BE3">
        <w:rPr>
          <w:rFonts w:ascii="Garamond" w:hAnsi="Garamond"/>
          <w:sz w:val="24"/>
          <w:szCs w:val="24"/>
        </w:rPr>
        <w:t>aurreikusten</w:t>
      </w:r>
      <w:proofErr w:type="spellEnd"/>
      <w:r w:rsidRPr="00254BE3">
        <w:rPr>
          <w:rFonts w:ascii="Garamond" w:hAnsi="Garamond"/>
          <w:sz w:val="24"/>
          <w:szCs w:val="24"/>
        </w:rPr>
        <w:t xml:space="preserve"> den pertsonak.</w:t>
      </w:r>
    </w:p>
    <w:p w14:paraId="66C83E86"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Federatu gabeak: federatuta ez egon arren, lege honen aplikazio-eremuan sartzen diren kirol-lehiaketa edo -jardueretan parte hartzen duten pertsonak, erregulartasun handiagoz edo txikiagoz parte hartzen dutela ere».</w:t>
      </w:r>
    </w:p>
    <w:p w14:paraId="2B1394E4"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Bigarren artikulua. i) eta j) letrak gehitzen zaizkio Kiroleko Dopinaren aurkako ekainaren 21eko 12/2012 Legearen 3. artikuluari. Honela geratuko dira letra horiek:</w:t>
      </w:r>
    </w:p>
    <w:p w14:paraId="2943AC1F"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 xml:space="preserve">«i) Lehiaketara itzultzea Dopinaren aurkako Mundu Kodean espresuki aurreikusitako irizpideen arabera kirol-jarduna utzi ondoren, aintzat hartu gabe dopinaren alorreko arauak </w:t>
      </w:r>
      <w:proofErr w:type="spellStart"/>
      <w:r w:rsidRPr="00254BE3">
        <w:rPr>
          <w:rFonts w:ascii="Garamond" w:hAnsi="Garamond"/>
          <w:sz w:val="24"/>
          <w:szCs w:val="24"/>
        </w:rPr>
        <w:t>hausteagatiko</w:t>
      </w:r>
      <w:proofErr w:type="spellEnd"/>
      <w:r w:rsidRPr="00254BE3">
        <w:rPr>
          <w:rFonts w:ascii="Garamond" w:hAnsi="Garamond"/>
          <w:sz w:val="24"/>
          <w:szCs w:val="24"/>
        </w:rPr>
        <w:t xml:space="preserve"> etete- edo desgaikuntza-zehapena bete bitartean utzi zen ala ez.</w:t>
      </w:r>
    </w:p>
    <w:p w14:paraId="242EEB11"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lastRenderedPageBreak/>
        <w:t>j) Pertsona batek dopinaren alorreko arau-hauste bat egiteagatik zigor-, diziplina- edo administrazio-zehapen bat jaso baldin badu, ez kontratatzea, hitzartzea edo jasotzea hark emandako kirol-zerbitzurik, ordainpekoa izan ala ez, araudiaren arabera hala egitea debekatuta dagoen aldietan».</w:t>
      </w:r>
    </w:p>
    <w:p w14:paraId="36FCC1CB"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Hirugarren artikulua. o) letra gehitzen zaio Kiroleko Dopinaren aurkako ekainaren 21eko 12/2012 Legearen 6. artikuluko 1. apartatuari. Honela geratuko da letra hori:</w:t>
      </w:r>
    </w:p>
    <w:p w14:paraId="19A361B0"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o) Pertsona batek dopinaren alorreko arau-hauste bat egiteagatik zigor-, diziplina- edo administrazio-zehapen bat jaso baldin badu, ez kontratatzea, hitzartzea edo jasotzea hark emandako kirol-zerbitzurik, ordainpekoa izan ala ez, araudiaren arabera hala egitea debekatuta dagoen aldietan».</w:t>
      </w:r>
    </w:p>
    <w:p w14:paraId="2BE767B8"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Laugarren artikulua. Paragrafo bat gehitzen zaio Kiroleko Dopinaren aurkako ekainaren 21eko 12/2012 Legearen 13. artikuluko 11. apartatuari. Honela geratuko da paragrafo hori:</w:t>
      </w:r>
    </w:p>
    <w:p w14:paraId="6782BBF5"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«Dopinaren aurkako organoak A edo B lagina banatu ahal izango du, eta lehen flaskoa A laginaren lehen analisia egiteko erabili, eta bigarren flaskoa, berriz, emaitza berresteko analisia egiteko. Kasu horretan, Dopinaren aurkako Mundu Agentziak unean-unean ezarritako eta argitaratutako nazioarteko estandarrak bete beharko dira».</w:t>
      </w:r>
    </w:p>
    <w:p w14:paraId="1D719619"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Bosgarren artikulua. Aldatu egiten da Kiroleko Dopinaren aurkako ekainaren 21eko 12/2012 Legearen 13. artikuluko 12. apartatuaren c) letra. Honela geratuko da letra hori:</w:t>
      </w:r>
    </w:p>
    <w:p w14:paraId="29980CBC"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«c) Kirolariaren B lagina bi flaskotan banatzen denean eta bigarren flaskoko analisiak berresten baldin badu lehenengo flaskoan agertutako substantzia debekatua edo haren metabolitoak edo markatzaileak agertzen direla, edo kirolariak uko egiten baldin badio banatutako lagina berresteko flaskoa analizatzeari».</w:t>
      </w:r>
    </w:p>
    <w:p w14:paraId="492D3EFF"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Seigarren artikulua. Paragrafo bat gehitzen zaio Kiroleko Dopinaren aurkako ekainaren 21eko 12/2012 Legearen 13. artikuluko 13. apartatuari. Honela geratuko da paragrafo hori:</w:t>
      </w:r>
    </w:p>
    <w:p w14:paraId="67D6870A"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 xml:space="preserve">«Era berean, pasaporte biologikoan ageri diren datuak, informazioa eta emaitzak </w:t>
      </w:r>
      <w:proofErr w:type="spellStart"/>
      <w:r w:rsidRPr="00254BE3">
        <w:rPr>
          <w:rFonts w:ascii="Garamond" w:hAnsi="Garamond"/>
          <w:sz w:val="24"/>
          <w:szCs w:val="24"/>
        </w:rPr>
        <w:t>zientifikoki</w:t>
      </w:r>
      <w:proofErr w:type="spellEnd"/>
      <w:r w:rsidRPr="00254BE3">
        <w:rPr>
          <w:rFonts w:ascii="Garamond" w:hAnsi="Garamond"/>
          <w:sz w:val="24"/>
          <w:szCs w:val="24"/>
        </w:rPr>
        <w:t xml:space="preserve"> baliozkoak direla jotzen da. Pasaporte biologikoan ageri diren datu, informazio eta emaitza edo ondorio horietan oinarrituta, dopinaren aurkako erakundeak behar bezala egiaztatutzat jo dezake dopinaren aurkako arauak hautsi direla. Pasaporte biologikoarekin zerikusia duen guztia Dopinaren aurkako Mundu Kodean zein unean-unean indarrean dauden nazioarteko estandarretan ezarritako horri buruzko xedapenen arabera arautuko da».</w:t>
      </w:r>
    </w:p>
    <w:p w14:paraId="2C0772A3"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Zazpigarren artikulua. 14. eta 15. apartatuak gehitzen zaizkio Kiroleko Dopinaren aurkako ekainaren 21eko 12/2012 Legearen 13. artikuluari. Honela geratuko dira apartatu horiek:</w:t>
      </w:r>
    </w:p>
    <w:p w14:paraId="34C58F30"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14.- Nazioarteko estandarrak edo araudian jasotako beste alderdi batzuk ez betetzeak ez du ekarriko analisien emaitzak edo dopinaren aurkako arau bat urratu izanaren beste edozein froga baliogabetzea. Horrelakoetan, eraginpeko pertsonak egiaztatzen baldin badu nazioarteko estandarretan edo araudian adierazitako xedapenen bat ez betetzeak analisiaren emaitza txarra izatea edo lokalizazioak huts egitea ekar dezakeela, dopinaren aurkako erakundeak frogatu beharko du ez-betetze horrek ez duela eragin analisiaren emaitza txarra izatea edo lokalizazioak huts egitea. Horrelakoetan, Dopinaren aurkako Mundu Kodearen 3.2.3 artikuluan espresuki aurreikusitakoa bete beharko du dopinaren aurkako erakundeak.</w:t>
      </w:r>
    </w:p>
    <w:p w14:paraId="1A12F237"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 xml:space="preserve">15.- Dopina kontrolatzeko eta emaitzak kudeatzeko prozedurak lege honetan </w:t>
      </w:r>
      <w:r w:rsidRPr="00254BE3">
        <w:rPr>
          <w:rFonts w:ascii="Garamond" w:hAnsi="Garamond"/>
          <w:sz w:val="24"/>
          <w:szCs w:val="24"/>
        </w:rPr>
        <w:lastRenderedPageBreak/>
        <w:t>aurreikusitakoaren arabera burutuko dira, eta Dopinaren aurkako Mundu Agentziak unean-unean ezarritako eta argitaratutako nazioarteko estandarrak eta dokumentu teknikoak aplikatuko dira».</w:t>
      </w:r>
    </w:p>
    <w:p w14:paraId="63E2F049"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Zortzigarren artikulua. Aldatu egiten dira Kiroleko Dopinaren aurkako ekainaren 21eko 12/2012 Legearen 14. artikuluko 8. eta 9. apartatuak. Honela geratuko dira apartatu horiek:</w:t>
      </w:r>
    </w:p>
    <w:p w14:paraId="1429053A"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«8.- Beste autonomia-erkidego bateko, Estatuko edo nazioarteko entitate edo organismo batek emandako erabilera terapeutikoko baimenen baliozkotasunari, indarraldiari eta eraginkortasunari dagokienez, Dopinaren aurkako Mundu Kodearen 4.4 artikuluan eta nazioarteko estandarretan aurreikusitakoa aplikatuko da. Nazioarte mailako kirolari federatuen kasuan, erabilera terapeutikoko baimenak nazioarteko federazioak emango ditu, bere arauen arabera. Lege honen aplikazio-eremuaren barruan dopin-kontrol bat egiten zaion edozein pertsonak indarrean dituen erabilera terapeutikoko baimenen berri eman beharko du, nahitaez, dopin-kontrola egitean.</w:t>
      </w:r>
    </w:p>
    <w:p w14:paraId="04BA3A58"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9.- Dopinaren aurkako organoek eta diziplina- edo zehapen-organoek ezingo dituzte erabilera terapeutikoko baimenak edo adierazitako baimenak baliozkotzat hartu, horiek ez badaude behar bezala erregistratuta Erabilera Terapeutikoko Baimenen Euskal Batzordean, ez eta Dopinaren aurkako Mundu Kodean eta nazioarteko estandarretan aurreikusitakoaren arabera baliozkoak ez diren baimenak edo adierazpenak ere. Era berean, baimenak edo adierazpenak ez dira baliozkotzat hartuko erregistratuta egon eta iruzur eginez lortu badira, edo dosien baldintzak, emateko moduak edo tratamendu-epea ez badira betetzen. Erabilera Terapeutikoko Baimenen Euskal Batzordean izapidetu diren erabilera terapeutikoko baimenak eskatzeko, ebaluatzeko, ebazteko eta berrikusteko prozeduretan, lege honetan aurreikusitakoaren arabera, Kiroleko Dopinaren aurkako Nazioarteko Konbentzioaren II. eranskina eta Dopinaren aurkako Mundu Agentziak unean-unean ezarritako eta argitaratutako nazioarteko estandarrak aplikatuko dira».</w:t>
      </w:r>
    </w:p>
    <w:p w14:paraId="775D0540"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Bederatzigarren artikulua. 8. apartatua gehitzen zaio Kiroleko Dopinaren aurkako ekainaren 21eko 12/2012 Legearen 16. artikuluari. Honela geratuko da apartatu hori:</w:t>
      </w:r>
    </w:p>
    <w:p w14:paraId="469F6CCC"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«8.- Laborategi batek jakinarazten badu dopin-kontrol baten emaitza negatiboa dela edo emaitzak ez duela ekarri dopin-arauak urratzeaz akusatzea, lagina gorde eta berriz ere analizatu ahal izango da, edo analisi gehigarriak egin ahal izango dira, edozein unetan, baldin eta dopinaren aurkako kontrolaren titulartasuna duen erakundeak edo Dopinaren aurkako Mundu Agentziak hala egiteko eskatzen badute. Horrelakoetan, Dopinaren aurkako Mundu Agentziak unean-unean ezarritako eta argitaratutako nazioarteko estandarretan aurreikusitakoaren arabera jokatu beharko da».</w:t>
      </w:r>
    </w:p>
    <w:p w14:paraId="6D1DB462"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Hamargarren artikulua. Paragrafo bat gehitzen zaio Kiroleko Dopinaren aurkako ekainaren 21eko 12/2012 Legearen 18. artikuluko 3. apartatuari. Honela geratuko da paragrafo hori:</w:t>
      </w:r>
    </w:p>
    <w:p w14:paraId="279E117C"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 xml:space="preserve">«Era berean, dopinaren aurkako agintaritzek </w:t>
      </w:r>
      <w:proofErr w:type="spellStart"/>
      <w:r w:rsidRPr="00254BE3">
        <w:rPr>
          <w:rFonts w:ascii="Garamond" w:hAnsi="Garamond"/>
          <w:sz w:val="24"/>
          <w:szCs w:val="24"/>
        </w:rPr>
        <w:t>akreditatu</w:t>
      </w:r>
      <w:proofErr w:type="spellEnd"/>
      <w:r w:rsidRPr="00254BE3">
        <w:rPr>
          <w:rFonts w:ascii="Garamond" w:hAnsi="Garamond"/>
          <w:sz w:val="24"/>
          <w:szCs w:val="24"/>
        </w:rPr>
        <w:t xml:space="preserve"> edo homologatutakoez bestelako laborategiek egindako auzitegi-kontrol fidagarrien bidez ere egiaztatu ahal izango dira dopinaren alorreko arau-hausteak».</w:t>
      </w:r>
    </w:p>
    <w:p w14:paraId="76117B84"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Hamaikagarren artikulua. 7. apartatua gehitzen zaio Kiroleko Dopinaren aurkako ekainaren 21eko 12/2012 Legearen 18. artikuluari. Honela geratuko da apartatu hori:</w:t>
      </w:r>
    </w:p>
    <w:p w14:paraId="17BC5D02"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 xml:space="preserve">«7.- Kirolariak laginak hartzen dituen dopinaren aurkako agintaritzari lagako dizkio, hamar urtez, dopin-kontroletan eskuratutako laginak. Lagin horiek behar bezala kontserbatu </w:t>
      </w:r>
      <w:r w:rsidRPr="00254BE3">
        <w:rPr>
          <w:rFonts w:ascii="Garamond" w:hAnsi="Garamond"/>
          <w:sz w:val="24"/>
          <w:szCs w:val="24"/>
        </w:rPr>
        <w:lastRenderedPageBreak/>
        <w:t>beharko dira, eta jaso eta berehala aztertu ahal izango dira, edo, bestela, jaso ondorengo edozein unetan, baldin eta hala egiteko eskatzen badu edo laginok hartu zituen dopin-agintaritzak, edo Dopinaren aurkako Mundu Agentziak, edo dopinaren aurkako beste agintaritza batek —bidezko arrazoiren bat dagoela egiaztatuz gero—, dela debekatutako substantzia eta metodoak detektatzeko, dela kirolariaren parametro biologikoen profila osatzeko».</w:t>
      </w:r>
    </w:p>
    <w:p w14:paraId="3048D87D"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Hamabigarren artikulua. Aldatu egiten da Dopinaren aurkako ekainaren 21eko 12/2012 Legearen 19. artikuluko 1. apartatua. Honela geratuko da apartatu hori:</w:t>
      </w:r>
    </w:p>
    <w:p w14:paraId="75A6072D"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«1.- Nazioarteko konpromiso eta obligazioen esparruan, Eusko Jaurlaritzan kirolaren eskumena duen pertsonak kirolean debekatuta dauden substantzien eta metodoen zerrenda Euskal Herriko Agintaritzaren Aldizkarian argitaratzeko eskatuko du, Estatuaren Administrazio Orokorrak Estatuko Aldizkari Ofizialean agintzen duen argitaratzea eragotzi gabe. Gainera, zerrendan aldaketak egiten diren guztietan, berriro egingo da argitalpena».</w:t>
      </w:r>
    </w:p>
    <w:p w14:paraId="7D6E4C65"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Hamahirugarren artikulua. 3., 4. eta 5. apartatuak gehitzen zaizkio Kiroleko Dopinaren aurkako ekainaren 21eko 12/2012 Legearen 19. artikuluari. Honela geratuko dira apartatu horiek:</w:t>
      </w:r>
    </w:p>
    <w:p w14:paraId="0B75B30F"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«3.- Unean-unean indarrean dagoen zerrendan sartuta dauden substantzia eta metodo debekatuak espezifikoak edo ez-espezifikoak izan daitezke. Substantzia eta metodo espezifikotzat hartuko dira unean-unean argitaratutako zerrendan halakotzat hartu eta kirol-errendimendua hobetzearekin zerikusi zuzenik ez duten helburuetarako erabil daitezkeenak.</w:t>
      </w:r>
    </w:p>
    <w:p w14:paraId="3D62FD5F"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4.- Abusuzko substantziatzat hartuko dira unean-unean indarrean dagoen substantzia debekatuen zerrendan berariaz halakotzat jotzen direnak. Substantzia bat, dopinaren aurkako araudiaren ondorioetarako, abusuzko substantziatzat hartzeko orduan, kontuan hartuko da gizartean gehiegi erabiltzen ote den, sarri, kirolaz bestelako testuinguruetan.</w:t>
      </w:r>
    </w:p>
    <w:p w14:paraId="199F04D3"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 xml:space="preserve">5.- Lege honetan “debekatutako substantziak” aipatzen direnean, “debekatutako </w:t>
      </w:r>
      <w:proofErr w:type="spellStart"/>
      <w:r w:rsidRPr="00254BE3">
        <w:rPr>
          <w:rFonts w:ascii="Garamond" w:hAnsi="Garamond"/>
          <w:sz w:val="24"/>
          <w:szCs w:val="24"/>
        </w:rPr>
        <w:t>metodo”ez</w:t>
      </w:r>
      <w:proofErr w:type="spellEnd"/>
      <w:r w:rsidRPr="00254BE3">
        <w:rPr>
          <w:rFonts w:ascii="Garamond" w:hAnsi="Garamond"/>
          <w:sz w:val="24"/>
          <w:szCs w:val="24"/>
        </w:rPr>
        <w:t xml:space="preserve"> ere ari garela ulertuko da, eta alderantziz, betiere kasu bat zein bestea unean-unean indarrean dagoen erreferentziako zerrendan jasota baldin badaude».</w:t>
      </w:r>
    </w:p>
    <w:p w14:paraId="0488C7EE"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Hamalaugarren artikulua. 5. apartatua gehitzen zaio Kiroleko Dopinaren aurkako ekainaren 21eko 12/2012 Legearen 22 bis artikuluari. Honela geratuko da apartatu hori:</w:t>
      </w:r>
    </w:p>
    <w:p w14:paraId="0E6AAE8F"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«5.- Behin-behineko edozein etete onartu ahal izango da, borondatez eta norberaren ekimenez, epe hauetako azkena amaitu aurretik:</w:t>
      </w:r>
    </w:p>
    <w:p w14:paraId="2DB76729"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 xml:space="preserve">Hamar egun, B laginaren analisiaren emaitzak jakinarazten </w:t>
      </w:r>
      <w:proofErr w:type="spellStart"/>
      <w:r w:rsidRPr="00254BE3">
        <w:rPr>
          <w:rFonts w:ascii="Garamond" w:hAnsi="Garamond"/>
          <w:sz w:val="24"/>
          <w:szCs w:val="24"/>
        </w:rPr>
        <w:t>direnetik</w:t>
      </w:r>
      <w:proofErr w:type="spellEnd"/>
      <w:r w:rsidRPr="00254BE3">
        <w:rPr>
          <w:rFonts w:ascii="Garamond" w:hAnsi="Garamond"/>
          <w:sz w:val="24"/>
          <w:szCs w:val="24"/>
        </w:rPr>
        <w:t xml:space="preserve"> edo kontraanalisia egiteari uko egiten </w:t>
      </w:r>
      <w:proofErr w:type="spellStart"/>
      <w:r w:rsidRPr="00254BE3">
        <w:rPr>
          <w:rFonts w:ascii="Garamond" w:hAnsi="Garamond"/>
          <w:sz w:val="24"/>
          <w:szCs w:val="24"/>
        </w:rPr>
        <w:t>zaionetik</w:t>
      </w:r>
      <w:proofErr w:type="spellEnd"/>
      <w:r w:rsidRPr="00254BE3">
        <w:rPr>
          <w:rFonts w:ascii="Garamond" w:hAnsi="Garamond"/>
          <w:sz w:val="24"/>
          <w:szCs w:val="24"/>
        </w:rPr>
        <w:t>, edo bestela, hamar egun, dopinaren aurkako beste edozein arau hautsi dela jakinarazten denetik.</w:t>
      </w:r>
    </w:p>
    <w:p w14:paraId="6FFD671C"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Jakinarazpena egin ondoren, kirolaria lehiatzen den lehenengo eguna.</w:t>
      </w:r>
    </w:p>
    <w:p w14:paraId="6769877E"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 xml:space="preserve">Kirolariak ez diren beste pertsona batzuek ere, borondatez eta norberaren ekimenez, behin-behineko etetea onar dezakete, hamar eguneko epean, ustez dopinaren aurkako araua urratu izana jakinarazten </w:t>
      </w:r>
      <w:proofErr w:type="spellStart"/>
      <w:r w:rsidRPr="00254BE3">
        <w:rPr>
          <w:rFonts w:ascii="Garamond" w:hAnsi="Garamond"/>
          <w:sz w:val="24"/>
          <w:szCs w:val="24"/>
        </w:rPr>
        <w:t>zaienetik</w:t>
      </w:r>
      <w:proofErr w:type="spellEnd"/>
      <w:r w:rsidRPr="00254BE3">
        <w:rPr>
          <w:rFonts w:ascii="Garamond" w:hAnsi="Garamond"/>
          <w:sz w:val="24"/>
          <w:szCs w:val="24"/>
        </w:rPr>
        <w:t>.</w:t>
      </w:r>
    </w:p>
    <w:p w14:paraId="567FE362"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 xml:space="preserve">Borondatez onartutako behin-behineko etetearen ondorioak eta tratamendua bat etorriko dira dopinaren aurkako erakundeak hala erabakitako kasuetan lege honetan aurreikusitakoaren arabera ezartzen diren eteteen ondorioekin eta tratamenduarekin. </w:t>
      </w:r>
      <w:r w:rsidRPr="00254BE3">
        <w:rPr>
          <w:rFonts w:ascii="Garamond" w:hAnsi="Garamond"/>
          <w:sz w:val="24"/>
          <w:szCs w:val="24"/>
        </w:rPr>
        <w:lastRenderedPageBreak/>
        <w:t>Borondatezko onarpenaren ondorengo edozein unetan eraginpeko pertsonak onarpenari uko egiten badio edo bertan behera uzten badu, ezin izango zaizkio aplikatu lege honetan behin-behineko eteteetarako aurreikusitako ondorioak».</w:t>
      </w:r>
    </w:p>
    <w:p w14:paraId="0343150D"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Hamabosgarren artikulua. Aldatu egiten da Kiroleko Dopinaren aurkako ekainaren 21eko 12/2012 Legearen 23. artikuluko 1. apartatuko m) letra. Honela geratuko da letra hori:</w:t>
      </w:r>
    </w:p>
    <w:p w14:paraId="3F8B3D29"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 xml:space="preserve">«m) Kirolari batek edo dopinaren aurkako organo baten agintearen mendeko pertsona batek lotura profesionala edo kirol-mailako lotura izatea dopinaren alorreko arau-hauste batengatik zehapen penala, diziplinazko zehapena edo administrazio-zehapena jaso duen beraren inguruko pertsona batekin, betiere dagokion dopinaren aurkako organoak idatziz jakinarazi badio kirolariari edo </w:t>
      </w:r>
      <w:proofErr w:type="spellStart"/>
      <w:r w:rsidRPr="00254BE3">
        <w:rPr>
          <w:rFonts w:ascii="Garamond" w:hAnsi="Garamond"/>
          <w:sz w:val="24"/>
          <w:szCs w:val="24"/>
        </w:rPr>
        <w:t>agintepeko</w:t>
      </w:r>
      <w:proofErr w:type="spellEnd"/>
      <w:r w:rsidRPr="00254BE3">
        <w:rPr>
          <w:rFonts w:ascii="Garamond" w:hAnsi="Garamond"/>
          <w:sz w:val="24"/>
          <w:szCs w:val="24"/>
        </w:rPr>
        <w:t xml:space="preserve"> pertsonari beraren inguruko pertsonaren egoeraz eta lotura horrek ekar dezakeen zehapenaz, Dopinaren aurkako Mundu Kodeak agintzen duen eran. Arau-hauste honetan sartzen da, halaber, lotura debekatua duten pertsonen estaltzaile edo haien bitartekari diren pertsonekin loturarik izatea».</w:t>
      </w:r>
    </w:p>
    <w:p w14:paraId="5BB61288"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Hamaseigarren artikulua. n) letra gehitzen zaio Kiroleko Dopinaren aurkako ekainaren 21eko 12/2012 Legearen 23. artikuluko 1. apartatuari. Honela geratuko da letra hori:</w:t>
      </w:r>
    </w:p>
    <w:p w14:paraId="72F1C491"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 xml:space="preserve">«n) Edozein motatako mehatxu edo larderia-egintza bideratzea, dopinaren aurkako arauekin lotutako ustezko arau-hauste edo ez-zilegi bati buruzko informazioa jakinarazteko asmoa kentzeko, edo dopinaren aurkako erakunde edo alor horretako agintaritza eskudun bati informazioa eman </w:t>
      </w:r>
      <w:proofErr w:type="spellStart"/>
      <w:r w:rsidRPr="00254BE3">
        <w:rPr>
          <w:rFonts w:ascii="Garamond" w:hAnsi="Garamond"/>
          <w:sz w:val="24"/>
          <w:szCs w:val="24"/>
        </w:rPr>
        <w:t>dionaren</w:t>
      </w:r>
      <w:proofErr w:type="spellEnd"/>
      <w:r w:rsidRPr="00254BE3">
        <w:rPr>
          <w:rFonts w:ascii="Garamond" w:hAnsi="Garamond"/>
          <w:sz w:val="24"/>
          <w:szCs w:val="24"/>
        </w:rPr>
        <w:t xml:space="preserve"> aurkako errepresaliak hartzea».</w:t>
      </w:r>
    </w:p>
    <w:p w14:paraId="400EF4B9"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Hamazazpigarren artikulua. 4. apartatua gehitzen zaio Kiroleko Dopinaren aurkako ekainaren 21eko 12/2012 Legearen 23. artikuluari. Honela geratuko da apartatu hori:</w:t>
      </w:r>
    </w:p>
    <w:p w14:paraId="18CF3566"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«4.- Arau-haustetzat hartuko dira artikulu honetako 1. paragrafoko b), f), h), i) eta k) letretan adierazitako jokabideak, hala tipifikatuta dauden jokabideak gauzatzea, nola jokabide horiek gauzatzen saiatzea».</w:t>
      </w:r>
    </w:p>
    <w:p w14:paraId="60405BE0"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Hemezortzigarren artikulua. Paragrafo bat gehitzen zaio Kiroleko Dopinaren aurkako ekainaren 21eko 12/2012 Legearen 24. artikuluko 2. apartatuari. Honela geratuko da paragrafo hori:</w:t>
      </w:r>
    </w:p>
    <w:p w14:paraId="201187B4"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«Laginak jasotzeari uko egitea alde batera utzita, manu horietan aurreikusita dauden gainerako kasuetan, zehapena bi eta lau urte bitartekoa izan daiteke, kirolariak egiaztatutako salbuespenezko inguruabarrak zein diren. Paragrafo honetan aurreikusitako arau-hausteak federatu gabeko pertsonek egiten badituzte, gehienez ere bi urteko zehapen-aldia ezarriko zaie».</w:t>
      </w:r>
    </w:p>
    <w:p w14:paraId="5B8FCA5F"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Hemeretzigarren artikulua. 8. eta 9. apartatuak gehitzen zaizkio Kiroleko Dopinaren aurkako ekainaren 21eko 12/2012 Legearen 24. artikuluari. Honela geratuko dira apartatu horiek:</w:t>
      </w:r>
    </w:p>
    <w:p w14:paraId="36539161"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 xml:space="preserve">«8.- Abusuzko substantzien erabileraren edo kontsumoaren ondorioz urratu badira dopinaren aurkako arauak, eta arau-hausleak frogatu </w:t>
      </w:r>
      <w:proofErr w:type="spellStart"/>
      <w:r w:rsidRPr="00254BE3">
        <w:rPr>
          <w:rFonts w:ascii="Garamond" w:hAnsi="Garamond"/>
          <w:sz w:val="24"/>
          <w:szCs w:val="24"/>
        </w:rPr>
        <w:t>badezake</w:t>
      </w:r>
      <w:proofErr w:type="spellEnd"/>
      <w:r w:rsidRPr="00254BE3">
        <w:rPr>
          <w:rFonts w:ascii="Garamond" w:hAnsi="Garamond"/>
          <w:sz w:val="24"/>
          <w:szCs w:val="24"/>
        </w:rPr>
        <w:t xml:space="preserve"> substantzia horiek lehiaketatik kanpo hartu zituela eta ez dutela zerikusirik kirol-errendimenduarekin, etenaldia edo desgaikuntza-aldia hiru hilabetekoa izango da. Zehapen-aldia hilabetera murriztu ahal izango da, frogatzen baldin bada eraginpeko pertsonak dopinaren aurkako agintaritzek ezarritako substantzien erabilera desegokiaren aurkako programa batean parte hartu duela. Kirolariak abusuzko substantziak lehiaketan hartu, erabili edo eduki bazituen ere, frogatzen baldin badu horiek hartu, erabili edo eduki zituen testuinguruak ez zuela zerikusirik izan kirol-</w:t>
      </w:r>
      <w:r w:rsidRPr="00254BE3">
        <w:rPr>
          <w:rFonts w:ascii="Garamond" w:hAnsi="Garamond"/>
          <w:sz w:val="24"/>
          <w:szCs w:val="24"/>
        </w:rPr>
        <w:lastRenderedPageBreak/>
        <w:t>errendimenduarekin, nahi gabeko egintzatzat edo jokabidetzat hartuko da zehapena zehazteko orduan.</w:t>
      </w:r>
    </w:p>
    <w:p w14:paraId="3EFCFB2C"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 xml:space="preserve">9.- Lege honen 23.1.n) artikuluan aurreikusitako arau-haustea egiteagatik, federazio-lizentzia eten, kendu edo ezin eskuratzea dakarren zehapena ezarriko da, bi urtez gutxienez eta </w:t>
      </w:r>
      <w:proofErr w:type="spellStart"/>
      <w:r w:rsidRPr="00254BE3">
        <w:rPr>
          <w:rFonts w:ascii="Garamond" w:hAnsi="Garamond"/>
          <w:sz w:val="24"/>
          <w:szCs w:val="24"/>
        </w:rPr>
        <w:t>biziartean</w:t>
      </w:r>
      <w:proofErr w:type="spellEnd"/>
      <w:r w:rsidRPr="00254BE3">
        <w:rPr>
          <w:rFonts w:ascii="Garamond" w:hAnsi="Garamond"/>
          <w:sz w:val="24"/>
          <w:szCs w:val="24"/>
        </w:rPr>
        <w:t xml:space="preserve"> gehienez, arau-haustearen larritasuna eta inguruabarrak zein diren.</w:t>
      </w:r>
    </w:p>
    <w:p w14:paraId="0A3CA506"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Hogeigarren artikulua. Aldatu egiten da Kiroleko Dopinaren aurkako ekainaren 21eko 12/2012 Legearen 24. artikuluko 1. apartatua. Honela geratuko da apartatu hori:</w:t>
      </w:r>
    </w:p>
    <w:p w14:paraId="53938915"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«1.- Dopinaren aurkako arauak bigarren aldiz urratuz gero, honako hauetatik luzeena den zehapen-aldia ezarriko da:</w:t>
      </w:r>
    </w:p>
    <w:p w14:paraId="5DFEC36B"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Sei hilabeteko etenaldia edo desgaikuntza-aldia.</w:t>
      </w:r>
    </w:p>
    <w:p w14:paraId="119BC314"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Edo, bestela, honako iraupen hau duen etenaldia edo desgaikuntza-aldia:</w:t>
      </w:r>
    </w:p>
    <w:p w14:paraId="1F979CA0"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Hauen batura: dopinaren alorreko lehen arau-hausteagatik ezarritako etenaldia edo desgaikuntza-aldia gehi bigarren arau-haustea lehen arau-haustetzat hartuta aplikatu beharko litzatekeen aldia.</w:t>
      </w:r>
    </w:p>
    <w:p w14:paraId="16606F1C"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Bigarren arau-hausteari, lehen arau-haustetzat hartuta, aplikatu beharko litzaiokeen etenaldia edo desgaikuntza-aldia halako bi; zehapen-aldi horren iraupena zehazteko, inguruabar guztiak eta arau-hausleak bigarren arau-haustearekiko duen erruduntasun-maila hartuko dira kontuan».</w:t>
      </w:r>
    </w:p>
    <w:p w14:paraId="0C933581"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Hogeita batgarren artikulua. 8. eta 9. apartatuak gehitzen zaizkio Kiroleko Dopinaren aurkako ekainaren 21eko 12/2012 Legearen 24 bis artikuluari. Honela geratuko dira apartatu horiek:</w:t>
      </w:r>
    </w:p>
    <w:p w14:paraId="06784F69"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«8.- Lege honen 35. artikuluan aurreikusitako kasuan, zehapena ezarri ondoren ere murriztu ahal izango da artikulu honetako lehenengo bi apartatuetan aurreikusitakoaren arabera ezarritako etenaldia edo desgaikuntza-aldia.</w:t>
      </w:r>
    </w:p>
    <w:p w14:paraId="508B35CD"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9.- Dopinaren alorreko hainbat arau-hauste egiten badira, Dopinaren aurkako Mundu Kodearen 10.9.3 artikuluan aurreikusitako irizpideak aplikatuko dira».</w:t>
      </w:r>
    </w:p>
    <w:p w14:paraId="079BDE54"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Hogeita bigarren artikulua. 6. apartatua gehitzen zaio Kiroleko Dopinaren aurkako ekainaren 21eko 12/2012 Legearen 26. artikuluari. Honela geratuko da apartatu hori:</w:t>
      </w:r>
    </w:p>
    <w:p w14:paraId="01AD02BA"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 xml:space="preserve">«6.- Lege honen 23.1.n) artikuluan aurreikusitako arau-haustea egiteagatik, federazio-lizentzia eten, kendu edo ezin eskuratzea dakarren zehapena ezarriko da, bi urtez gutxienez eta </w:t>
      </w:r>
      <w:proofErr w:type="spellStart"/>
      <w:r w:rsidRPr="00254BE3">
        <w:rPr>
          <w:rFonts w:ascii="Garamond" w:hAnsi="Garamond"/>
          <w:sz w:val="24"/>
          <w:szCs w:val="24"/>
        </w:rPr>
        <w:t>biziartean</w:t>
      </w:r>
      <w:proofErr w:type="spellEnd"/>
      <w:r w:rsidRPr="00254BE3">
        <w:rPr>
          <w:rFonts w:ascii="Garamond" w:hAnsi="Garamond"/>
          <w:sz w:val="24"/>
          <w:szCs w:val="24"/>
        </w:rPr>
        <w:t xml:space="preserve"> gehienez, arau-haustearen larritasuna eta inguruabarrak zein diren».</w:t>
      </w:r>
    </w:p>
    <w:p w14:paraId="654E549D"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Hogeita hirugarren artikulua. 7. apartatua gehitzen zaio Kiroleko Dopinaren aurkako ekainaren 21eko 12/2012 Legearen 27. artikuluari. Honela geratuko da apartatu hori:</w:t>
      </w:r>
    </w:p>
    <w:p w14:paraId="0910E9FA"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 xml:space="preserve">«7.- Lege honen 23.1.n) artikuluan aurreikusitako arau-haustea egiteagatik, federazio-lizentzia eten, kendu edo ezin eskuratzea dakarren zehapena ezarriko da, bi urtez gutxienez eta </w:t>
      </w:r>
      <w:proofErr w:type="spellStart"/>
      <w:r w:rsidRPr="00254BE3">
        <w:rPr>
          <w:rFonts w:ascii="Garamond" w:hAnsi="Garamond"/>
          <w:sz w:val="24"/>
          <w:szCs w:val="24"/>
        </w:rPr>
        <w:t>biziartean</w:t>
      </w:r>
      <w:proofErr w:type="spellEnd"/>
      <w:r w:rsidRPr="00254BE3">
        <w:rPr>
          <w:rFonts w:ascii="Garamond" w:hAnsi="Garamond"/>
          <w:sz w:val="24"/>
          <w:szCs w:val="24"/>
        </w:rPr>
        <w:t xml:space="preserve"> gehienez, arau-haustearen larritasuna eta inguruabarrak zein diren».</w:t>
      </w:r>
    </w:p>
    <w:p w14:paraId="68ECC541"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Hogeita laugarren artikulua. 12., 13. eta 14. apartatuak gehitzen zaizkio Kiroleko Dopinaren aurkako ekainaren 21eko 12/2012 Legearen 28. artikuluari. Honela geratuko dira apartatu horiek:</w:t>
      </w:r>
    </w:p>
    <w:p w14:paraId="5E58399C"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lastRenderedPageBreak/>
        <w:t>«12.- Hala egitea justifikatzen duten inguruabar astungarriak daudenean, etetearen edo desgaikuntzaren iraupena beste bi urtez luzatu ahal izango da, salbu eta eraginpeko pertsonak egiaztatzen badu ez zuela izan arau-haustea egiteko asmorik. Apartatu honetan aurreikusitakoa ez zaie aplikatuko lege honen 21. artikuluko h), i), k) eta n) letretan aurreikusitako arau-hausteei.</w:t>
      </w:r>
    </w:p>
    <w:p w14:paraId="79A6FE32"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 xml:space="preserve">13.- Legean aurreikusitakoaren arabera, etete- edo desgaikuntza-zehapenak ezarri behar badira, eta zehapen horien iraupena lau urtekoa edo gehiagokoa bada, aldi hori urtebetez murriztu ahal izango da, baldin eta tartean den pertsonak arau-haustea egin duela aitortzen badu eta proposatutako zehapen-aldia onartzen badu; hori espresuki adierazi beharko du, gehienez ere hogei eguneko epean, balizko arau-haustea jakinarazten </w:t>
      </w:r>
      <w:proofErr w:type="spellStart"/>
      <w:r w:rsidRPr="00254BE3">
        <w:rPr>
          <w:rFonts w:ascii="Garamond" w:hAnsi="Garamond"/>
          <w:sz w:val="24"/>
          <w:szCs w:val="24"/>
        </w:rPr>
        <w:t>zaionetik</w:t>
      </w:r>
      <w:proofErr w:type="spellEnd"/>
      <w:r w:rsidRPr="00254BE3">
        <w:rPr>
          <w:rFonts w:ascii="Garamond" w:hAnsi="Garamond"/>
          <w:sz w:val="24"/>
          <w:szCs w:val="24"/>
        </w:rPr>
        <w:t xml:space="preserve"> aurrera. Horrelakoetan, ezin izango zaio beste murrizketarik ezarri zehapen-aldiari, legean aurreikusitako inguruabarrekin bat.</w:t>
      </w:r>
    </w:p>
    <w:p w14:paraId="1672ACEB"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14.- Pertsona batek arau-haustea egin duela aitortzen eta dopinaren aurkako erakundeak proposatutako zehapena onartzen badu, etenaldia edo desgaikuntza-aldia murriztu ahal izango da, legean aurreikusitako irizpideen arabera. Horrelakoetan, honako hauek hartuko dira kontuan: arau-haustearen larritasuna, arau-hauslearen erruduntasun-maila, arau-haustea laster aitortu izana. Horrelakoetan, batzuetan, arau-haustea egin dela jotzea eragin duen dopin-kontrolaren egunetik aurrera hasiko da kontatzen zehapena-aldia, edo, beste batzuetan, berriz, arau-haustea egin den egunetik aurrera. Nolanahi ere, artikulu honen apartatu honetan aurreikusitako kasuetan, zehatutako pertsonak erabakitako zehapen-aldiaren erdia bete beharko du gutxienez, zehapen bat ezartzea onartu duen egunetik aurrera edo behin-behineko eteteari men egin dion egunetik aurrera —bi data horietan lehena zein izan zen, hari erreparatuko zaio—. Apartatu honetan aurreikusitakoarekin bat zehapen-aldia murrizten den kasuetan, zehatutako pertsonak ezin izango du errekurtsorik aurkeztu».</w:t>
      </w:r>
    </w:p>
    <w:p w14:paraId="48606473"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Hogeita bosgarren artikulua. 6. apartatua gehitzen zaio Kiroleko Dopinaren aurkako ekainaren 21eko 12/2012 Legearen 30. artikuluari. Honela geratuko da apartatu hori:</w:t>
      </w:r>
    </w:p>
    <w:p w14:paraId="34FA68A5"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«6.- Dopinaren aurkako erakunde batek dopinaren aurkako arauak hautsiz lortu den sari ekonomiko bat berreskuratzen badu, beharrezkoak diren neurriak hartuko ditu sari hori banatzeko lehiaketen emaitzak aldatu izan ez balira horretarako eskubidea izango zuketen pertsonen edo entitateen artean».</w:t>
      </w:r>
    </w:p>
    <w:p w14:paraId="058D45C1"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Hogeita seigarren artikulua. 5. eta 6. apartatuak gehitzen zaizkio Kiroleko Dopinaren aurkako ekainaren 21eko 12/2012 Legearen 31 bis artikuluari. Honela geratuko dira apartatu horiek:</w:t>
      </w:r>
    </w:p>
    <w:p w14:paraId="17B9BF5A"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«5.- Zehatutako pertsona kirolari bat bada, zehapena betetzen ari den bitartean, lehiaketatik kanpoko dopin-kontrolak egin ahal izango zaizkio, eta kontrol horiek egitera bideratutako zenbait betebehar betetzeko eskatu ahal izango zaio; esate baterako, zenbait datu eskatu ahal izango zaizkio non dagoen jakiteko.</w:t>
      </w:r>
    </w:p>
    <w:p w14:paraId="4BEEA90D"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6.- Zehatutako pertsonak ez badu betetzen ezarritako etenaldian edo desgaikuntza-aldian lehiaketetan ez parte hartzeko betebeharra, lortutako emaitzak baliogabetu egingo dira. Horrelakoetan, jatorrizko zehapen-aldiaren amaieran beste etenaldi edo desgaikuntza-aldi bat gehituko da, jatorrizko edo hasieran ezarritako aldiaren iraupen berekoa».</w:t>
      </w:r>
    </w:p>
    <w:p w14:paraId="1DD82AE5"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Hogeita zazpigarren artikulua. Paragrafo bat gehitzen zaio Kiroleko Dopinaren aurkako ekainaren 21eko 12/2012 Legearen 38. artikuluko 3. apartatuari. Honela geratuko da paragrafo hori:</w:t>
      </w:r>
    </w:p>
    <w:p w14:paraId="08F25E7F"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lastRenderedPageBreak/>
        <w:t>«Dopin-kontrolen bidez eskuratutako laginak kontserbatu eta erabiltzeari dagokionez, Dopinaren aurkako Mundu Agentziak unean-unean ezarritako eta argitaratutako nazioarteko estandarretan espresuki aurreikusitakoa aplikatuko da».</w:t>
      </w:r>
    </w:p>
    <w:p w14:paraId="551FF6AB"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Hogeita zortzigarren artikulua. 10. apartatua gehitzen zaio Kiroleko Dopinaren aurkako ekainaren 21eko 12/2012 Legearen 42. artikuluari. Honela geratuko da apartatu hori:</w:t>
      </w:r>
    </w:p>
    <w:p w14:paraId="4646D15E"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«10.- Dopinaren aurkako Mundu Agentziari laga edo jakinarazi ahal izango zaizkio dopin-kontrolekin edo dopinaren aurkako arauak urratzearekin zerikusia duten datuak eta informazioa, Dopinaren aurkako Mundu Kodean aurreikusitako moduan, baldin eta entitate horrek hala egiteko eskatzen badu, arrazoiak emanez».</w:t>
      </w:r>
    </w:p>
    <w:p w14:paraId="25DAD56C" w14:textId="77777777" w:rsidR="00254BE3" w:rsidRPr="00254BE3" w:rsidRDefault="00254BE3" w:rsidP="00254BE3">
      <w:pPr>
        <w:pStyle w:val="BOPVDisposicion"/>
        <w:jc w:val="both"/>
        <w:rPr>
          <w:rFonts w:ascii="Garamond" w:hAnsi="Garamond"/>
          <w:sz w:val="24"/>
          <w:szCs w:val="24"/>
        </w:rPr>
      </w:pPr>
      <w:r w:rsidRPr="00254BE3">
        <w:rPr>
          <w:rFonts w:ascii="Garamond" w:hAnsi="Garamond"/>
          <w:sz w:val="24"/>
          <w:szCs w:val="24"/>
        </w:rPr>
        <w:t>XEDAPEN IRAGANKORRAK</w:t>
      </w:r>
    </w:p>
    <w:p w14:paraId="573A54A5"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LEHENENGO XEDAPEN IRAGANKORRA</w:t>
      </w:r>
    </w:p>
    <w:p w14:paraId="73CE118F"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Lege hau indarrean sartu aurretik dopinaren alorrean egin diren arau-hausteak aurreko araudiaren mende egongo dira, salbu eta arau berrian aurreikusitako erregulazioa onuragarriagoa den espedientea jaso duten pertsonentzat.</w:t>
      </w:r>
    </w:p>
    <w:p w14:paraId="43849010" w14:textId="77777777" w:rsidR="00254BE3" w:rsidRPr="00254BE3" w:rsidRDefault="00254BE3" w:rsidP="00254BE3">
      <w:pPr>
        <w:pStyle w:val="BOPVDisposicion"/>
        <w:jc w:val="both"/>
        <w:rPr>
          <w:rFonts w:ascii="Garamond" w:hAnsi="Garamond"/>
          <w:sz w:val="24"/>
          <w:szCs w:val="24"/>
        </w:rPr>
      </w:pPr>
      <w:r w:rsidRPr="00254BE3">
        <w:rPr>
          <w:rFonts w:ascii="Garamond" w:hAnsi="Garamond"/>
          <w:sz w:val="24"/>
          <w:szCs w:val="24"/>
        </w:rPr>
        <w:t>BIGARREN XEDAPEN IRAGANKORRA</w:t>
      </w:r>
    </w:p>
    <w:p w14:paraId="4F978C0E"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Lege hau indarrean sartu aurretik kiroleko dopina zigortzeko alorrean hasi diren diziplina-prozedurak aurreko araudiaren mende egongo dira, salbu eta interesdunak bere kabuz lege hau aplikatzea aukeratzen duen.</w:t>
      </w:r>
    </w:p>
    <w:p w14:paraId="03E4D18D" w14:textId="77777777" w:rsidR="00254BE3" w:rsidRPr="00254BE3" w:rsidRDefault="00254BE3" w:rsidP="00254BE3">
      <w:pPr>
        <w:pStyle w:val="BOPVDisposicion"/>
        <w:jc w:val="both"/>
        <w:rPr>
          <w:rFonts w:ascii="Garamond" w:hAnsi="Garamond"/>
          <w:sz w:val="24"/>
          <w:szCs w:val="24"/>
        </w:rPr>
      </w:pPr>
      <w:r w:rsidRPr="00254BE3">
        <w:rPr>
          <w:rFonts w:ascii="Garamond" w:hAnsi="Garamond"/>
          <w:sz w:val="24"/>
          <w:szCs w:val="24"/>
        </w:rPr>
        <w:t>AZKEN XEDAPENA</w:t>
      </w:r>
    </w:p>
    <w:p w14:paraId="7C47C73D" w14:textId="77777777" w:rsidR="00254BE3" w:rsidRPr="00254BE3" w:rsidRDefault="00254BE3" w:rsidP="00254BE3">
      <w:pPr>
        <w:pStyle w:val="BOPVDisposicion"/>
        <w:jc w:val="both"/>
        <w:rPr>
          <w:rFonts w:ascii="Garamond" w:hAnsi="Garamond"/>
          <w:sz w:val="24"/>
          <w:szCs w:val="24"/>
        </w:rPr>
      </w:pPr>
      <w:r w:rsidRPr="00254BE3">
        <w:rPr>
          <w:rFonts w:ascii="Garamond" w:hAnsi="Garamond"/>
          <w:sz w:val="24"/>
          <w:szCs w:val="24"/>
        </w:rPr>
        <w:t>AZKEN XEDAPENA</w:t>
      </w:r>
    </w:p>
    <w:p w14:paraId="68B37820"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Euskal Herriko Agintaritzaren Aldizkarian argitaratzen den egunaren biharamunean jarriko da indarrean lege hau.</w:t>
      </w:r>
    </w:p>
    <w:p w14:paraId="48146553" w14:textId="77777777" w:rsidR="00254BE3" w:rsidRPr="00254BE3" w:rsidRDefault="00254BE3" w:rsidP="00254BE3">
      <w:pPr>
        <w:pStyle w:val="BOPVDetalle"/>
        <w:jc w:val="both"/>
        <w:rPr>
          <w:rFonts w:ascii="Garamond" w:hAnsi="Garamond"/>
          <w:sz w:val="24"/>
          <w:szCs w:val="24"/>
        </w:rPr>
      </w:pPr>
      <w:r w:rsidRPr="00254BE3">
        <w:rPr>
          <w:rFonts w:ascii="Garamond" w:hAnsi="Garamond"/>
          <w:sz w:val="24"/>
          <w:szCs w:val="24"/>
        </w:rPr>
        <w:t>Beraz, lege honi men egiteko eta men eginarazteko agintzen diet, norbanako zein agintari direla, Euskadiko herritar guztiei.</w:t>
      </w:r>
    </w:p>
    <w:p w14:paraId="51800B1A" w14:textId="77777777" w:rsidR="00254BE3" w:rsidRPr="00254BE3" w:rsidRDefault="00254BE3" w:rsidP="00254BE3">
      <w:pPr>
        <w:pStyle w:val="BOPVFirmaLugFec"/>
        <w:jc w:val="both"/>
        <w:rPr>
          <w:rFonts w:ascii="Garamond" w:hAnsi="Garamond"/>
          <w:sz w:val="24"/>
          <w:szCs w:val="24"/>
        </w:rPr>
      </w:pPr>
      <w:r w:rsidRPr="00254BE3">
        <w:rPr>
          <w:rFonts w:ascii="Garamond" w:hAnsi="Garamond"/>
          <w:sz w:val="24"/>
          <w:szCs w:val="24"/>
        </w:rPr>
        <w:t>Vitoria-Gasteizen, 2021eko …………..aren ….(e)(a)n.</w:t>
      </w:r>
    </w:p>
    <w:p w14:paraId="3836B824" w14:textId="77777777" w:rsidR="00254BE3" w:rsidRPr="00254BE3" w:rsidRDefault="00254BE3" w:rsidP="00254BE3">
      <w:pPr>
        <w:pStyle w:val="BOPVPuestoLehen1"/>
        <w:jc w:val="both"/>
        <w:rPr>
          <w:rFonts w:ascii="Garamond" w:hAnsi="Garamond"/>
          <w:sz w:val="24"/>
          <w:szCs w:val="24"/>
        </w:rPr>
      </w:pPr>
      <w:r w:rsidRPr="00254BE3">
        <w:rPr>
          <w:rFonts w:ascii="Garamond" w:hAnsi="Garamond"/>
          <w:sz w:val="24"/>
          <w:szCs w:val="24"/>
        </w:rPr>
        <w:t>Lehendakaria,</w:t>
      </w:r>
    </w:p>
    <w:p w14:paraId="264312CC" w14:textId="77777777" w:rsidR="00254BE3" w:rsidRPr="00254BE3" w:rsidRDefault="00254BE3" w:rsidP="00254BE3">
      <w:pPr>
        <w:pStyle w:val="BOPVNombreLehen1"/>
        <w:jc w:val="both"/>
        <w:rPr>
          <w:rFonts w:ascii="Garamond" w:hAnsi="Garamond"/>
          <w:sz w:val="24"/>
          <w:szCs w:val="24"/>
        </w:rPr>
      </w:pPr>
      <w:r w:rsidRPr="00254BE3">
        <w:rPr>
          <w:rFonts w:ascii="Garamond" w:hAnsi="Garamond"/>
          <w:sz w:val="24"/>
          <w:szCs w:val="24"/>
        </w:rPr>
        <w:t>IÑIGO URKULLU RENTERIA.</w:t>
      </w:r>
    </w:p>
    <w:p w14:paraId="4AD142A8" w14:textId="77777777" w:rsidR="00254BE3" w:rsidRPr="00254BE3" w:rsidRDefault="00254BE3" w:rsidP="00254BE3">
      <w:pPr>
        <w:spacing w:line="340" w:lineRule="exact"/>
        <w:jc w:val="both"/>
        <w:rPr>
          <w:rFonts w:ascii="Garamond" w:hAnsi="Garamond" w:cs="Arial"/>
          <w:b/>
          <w:szCs w:val="24"/>
        </w:rPr>
      </w:pPr>
    </w:p>
    <w:p w14:paraId="164C4791" w14:textId="318A9C56" w:rsidR="00F138FF" w:rsidRPr="00254BE3" w:rsidRDefault="00F138FF" w:rsidP="00254BE3">
      <w:pPr>
        <w:spacing w:line="340" w:lineRule="exact"/>
        <w:jc w:val="both"/>
        <w:rPr>
          <w:rFonts w:ascii="Garamond" w:hAnsi="Garamond" w:cs="Arial"/>
          <w:b/>
          <w:szCs w:val="24"/>
        </w:rPr>
      </w:pPr>
    </w:p>
    <w:p w14:paraId="076233C3" w14:textId="77777777" w:rsidR="00F138FF" w:rsidRPr="00254BE3" w:rsidRDefault="00F138FF" w:rsidP="00254BE3">
      <w:pPr>
        <w:jc w:val="both"/>
        <w:rPr>
          <w:rFonts w:ascii="Garamond" w:hAnsi="Garamond"/>
          <w:szCs w:val="24"/>
        </w:rPr>
      </w:pPr>
    </w:p>
    <w:sectPr w:rsidR="00F138FF" w:rsidRPr="00254BE3">
      <w:headerReference w:type="default" r:id="rId10"/>
      <w:headerReference w:type="first" r:id="rId11"/>
      <w:footerReference w:type="first" r:id="rId12"/>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51FD1" w14:textId="77777777" w:rsidR="0047385A" w:rsidRDefault="0047385A">
      <w:r>
        <w:separator/>
      </w:r>
    </w:p>
  </w:endnote>
  <w:endnote w:type="continuationSeparator" w:id="0">
    <w:p w14:paraId="1EE51FD2" w14:textId="77777777" w:rsidR="0047385A" w:rsidRDefault="0047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51FE0" w14:textId="77777777" w:rsidR="00FD1BBF" w:rsidRDefault="00FD1BBF" w:rsidP="00FD1BBF">
    <w:pPr>
      <w:pStyle w:val="Orri-o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14:paraId="1EE51FE1" w14:textId="77777777" w:rsidR="00FD1BBF" w:rsidRDefault="0057469E" w:rsidP="00FD1BBF">
    <w:pPr>
      <w:pStyle w:val="Orri-oina"/>
      <w:tabs>
        <w:tab w:val="clear" w:pos="9071"/>
      </w:tabs>
      <w:jc w:val="center"/>
      <w:rPr>
        <w:rFonts w:ascii="Arial" w:hAnsi="Arial"/>
        <w:sz w:val="13"/>
      </w:rPr>
    </w:pPr>
    <w:r>
      <w:rPr>
        <w:rFonts w:ascii="Arial" w:hAnsi="Arial"/>
        <w:sz w:val="13"/>
      </w:rPr>
      <w:t xml:space="preserve"> </w:t>
    </w:r>
    <w:proofErr w:type="spellStart"/>
    <w:r>
      <w:rPr>
        <w:rFonts w:ascii="Arial" w:hAnsi="Arial"/>
        <w:sz w:val="13"/>
      </w:rPr>
      <w:t>tef</w:t>
    </w:r>
    <w:proofErr w:type="spellEnd"/>
    <w:r>
      <w:rPr>
        <w:rFonts w:ascii="Arial" w:hAnsi="Arial"/>
        <w:sz w:val="13"/>
      </w:rPr>
      <w:t xml:space="preserve">. 945 01 </w:t>
    </w:r>
    <w:proofErr w:type="gramStart"/>
    <w:r>
      <w:rPr>
        <w:rFonts w:ascii="Arial" w:hAnsi="Arial"/>
        <w:sz w:val="13"/>
      </w:rPr>
      <w:t>94</w:t>
    </w:r>
    <w:r w:rsidR="00FD1BBF">
      <w:rPr>
        <w:rFonts w:ascii="Arial" w:hAnsi="Arial"/>
        <w:sz w:val="13"/>
      </w:rPr>
      <w:t xml:space="preserve"> </w:t>
    </w:r>
    <w:r>
      <w:rPr>
        <w:rFonts w:ascii="Arial" w:hAnsi="Arial"/>
        <w:sz w:val="13"/>
      </w:rPr>
      <w:t xml:space="preserve"> 7</w:t>
    </w:r>
    <w:r w:rsidR="00404B50">
      <w:rPr>
        <w:rFonts w:ascii="Arial" w:hAnsi="Arial"/>
        <w:sz w:val="13"/>
      </w:rPr>
      <w:t>5</w:t>
    </w:r>
    <w:proofErr w:type="gramEnd"/>
    <w:r>
      <w:rPr>
        <w:rFonts w:ascii="Arial" w:hAnsi="Arial"/>
        <w:sz w:val="13"/>
      </w:rPr>
      <w:t xml:space="preserve"> –</w:t>
    </w:r>
    <w:r w:rsidR="00FD1BBF">
      <w:rPr>
        <w:rFonts w:ascii="Arial" w:hAnsi="Arial"/>
        <w:sz w:val="13"/>
      </w:rPr>
      <w:t xml:space="preserve">– e-mail </w:t>
    </w:r>
    <w:r w:rsidR="003A1941">
      <w:rPr>
        <w:rFonts w:ascii="Arial" w:hAnsi="Arial"/>
        <w:sz w:val="13"/>
      </w:rPr>
      <w:t>kirolak</w:t>
    </w:r>
    <w:r w:rsidR="00D3142A">
      <w:rPr>
        <w:rFonts w:ascii="Arial" w:hAnsi="Arial"/>
        <w:sz w:val="13"/>
      </w:rPr>
      <w:t>@euskadi</w:t>
    </w:r>
    <w:r w:rsidR="00FD1BBF">
      <w:rPr>
        <w:rFonts w:ascii="Arial" w:hAnsi="Arial"/>
        <w:sz w:val="13"/>
      </w:rPr>
      <w:t>.e</w:t>
    </w:r>
    <w:r w:rsidR="00D3142A">
      <w:rPr>
        <w:rFonts w:ascii="Arial" w:hAnsi="Arial"/>
        <w:sz w:val="13"/>
      </w:rPr>
      <w:t>u</w:t>
    </w:r>
    <w:r w:rsidR="00FD1BBF">
      <w:rPr>
        <w:rFonts w:ascii="Arial" w:hAnsi="Arial"/>
        <w:sz w:val="13"/>
      </w:rPr>
      <w: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51FCF" w14:textId="77777777" w:rsidR="0047385A" w:rsidRDefault="0047385A">
      <w:r>
        <w:separator/>
      </w:r>
    </w:p>
  </w:footnote>
  <w:footnote w:type="continuationSeparator" w:id="0">
    <w:p w14:paraId="1EE51FD0" w14:textId="77777777" w:rsidR="0047385A" w:rsidRDefault="00473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51FD4" w14:textId="77777777" w:rsidR="00F82C75" w:rsidRDefault="00F82C75">
    <w:pPr>
      <w:pStyle w:val="Goiburua"/>
      <w:jc w:val="center"/>
    </w:pPr>
    <w:r>
      <w:rPr>
        <w:noProof/>
      </w:rPr>
      <w:object w:dxaOrig="11549" w:dyaOrig="1410" w14:anchorId="1EE51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fillcolor="window">
          <v:imagedata r:id="rId1" o:title=""/>
        </v:shape>
        <o:OLEObject Type="Embed" ProgID="MSPhotoEd.3" ShapeID="_x0000_i1025" DrawAspect="Content" ObjectID="_1679217895" r:id="rId2"/>
      </w:object>
    </w:r>
  </w:p>
  <w:p w14:paraId="1EE51FD5" w14:textId="77777777" w:rsidR="00F82C75" w:rsidRDefault="00F82C75">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51FD8" w14:textId="5FEBE162" w:rsidR="00F82C75" w:rsidRDefault="00F82C75">
    <w:pPr>
      <w:pStyle w:val="Goiburua"/>
      <w:tabs>
        <w:tab w:val="right" w:pos="9923"/>
      </w:tabs>
      <w:ind w:right="-142"/>
      <w:jc w:val="center"/>
      <w:rPr>
        <w:rFonts w:ascii="Arial" w:hAnsi="Arial"/>
        <w:sz w:val="16"/>
      </w:rPr>
    </w:pPr>
    <w:r>
      <w:rPr>
        <w:rFonts w:ascii="Arial" w:hAnsi="Arial"/>
        <w:noProof/>
        <w:sz w:val="16"/>
      </w:rPr>
      <w:object w:dxaOrig="18028" w:dyaOrig="2235" w14:anchorId="1EE51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fillcolor="window">
          <v:imagedata r:id="rId1" o:title=""/>
        </v:shape>
        <o:OLEObject Type="Embed" ProgID="MSPhotoEd.3" ShapeID="_x0000_i1026" DrawAspect="Content" ObjectID="_1679217896" r:id="rId2"/>
      </w:object>
    </w:r>
  </w:p>
  <w:p w14:paraId="1EE51FD9" w14:textId="793CF02B" w:rsidR="00F82C75" w:rsidRDefault="00C46DDC">
    <w:pPr>
      <w:pStyle w:val="Goiburua"/>
      <w:tabs>
        <w:tab w:val="right" w:pos="9923"/>
      </w:tabs>
      <w:ind w:right="-142"/>
      <w:jc w:val="center"/>
      <w:rPr>
        <w:rFonts w:ascii="Arial" w:hAnsi="Arial"/>
        <w:sz w:val="16"/>
      </w:rPr>
    </w:pPr>
    <w:r>
      <w:rPr>
        <w:noProof/>
        <w:sz w:val="16"/>
        <w:lang w:val="eu-ES" w:eastAsia="eu-ES"/>
      </w:rPr>
      <mc:AlternateContent>
        <mc:Choice Requires="wps">
          <w:drawing>
            <wp:anchor distT="0" distB="0" distL="114300" distR="114300" simplePos="0" relativeHeight="251657216" behindDoc="0" locked="0" layoutInCell="0" allowOverlap="1" wp14:anchorId="1EE51FE5" wp14:editId="574B644E">
              <wp:simplePos x="0" y="0"/>
              <wp:positionH relativeFrom="page">
                <wp:posOffset>2132965</wp:posOffset>
              </wp:positionH>
              <wp:positionV relativeFrom="page">
                <wp:posOffset>929640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51FEA" w14:textId="77777777" w:rsidR="00F82C75" w:rsidRDefault="006C2D47">
                          <w:pPr>
                            <w:pStyle w:val="2izenburua"/>
                            <w:spacing w:after="35"/>
                          </w:pPr>
                          <w:r w:rsidRPr="006C2D47">
                            <w:t>KULTURA ETA HIZKUNTZA POLITIKA SAILA</w:t>
                          </w:r>
                        </w:p>
                        <w:p w14:paraId="1EE51FEB" w14:textId="77777777" w:rsidR="00F82C75" w:rsidRDefault="00862314">
                          <w:pPr>
                            <w:pStyle w:val="4izenburua"/>
                          </w:pPr>
                          <w:proofErr w:type="spellStart"/>
                          <w:r>
                            <w:t>Jarduera</w:t>
                          </w:r>
                          <w:proofErr w:type="spellEnd"/>
                          <w:r>
                            <w:t xml:space="preserve"> </w:t>
                          </w:r>
                          <w:proofErr w:type="spellStart"/>
                          <w:r>
                            <w:t>Fisikoaren</w:t>
                          </w:r>
                          <w:proofErr w:type="spellEnd"/>
                          <w:r>
                            <w:t xml:space="preserve"> eta </w:t>
                          </w:r>
                          <w:proofErr w:type="spellStart"/>
                          <w:r w:rsidR="00404B50">
                            <w:t>Kiro</w:t>
                          </w:r>
                          <w:r>
                            <w:t>laren</w:t>
                          </w:r>
                          <w:proofErr w:type="spellEnd"/>
                          <w:r>
                            <w:t xml:space="preserve"> </w:t>
                          </w:r>
                          <w:r w:rsidR="0057469E">
                            <w:t>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51FE5" id="_x0000_t202" coordsize="21600,21600" o:spt="202" path="m,l,21600r21600,l21600,xe">
              <v:stroke joinstyle="miter"/>
              <v:path gradientshapeok="t" o:connecttype="rect"/>
            </v:shapetype>
            <v:shape id="Text Box 1" o:spid="_x0000_s1026" type="#_x0000_t202" style="position:absolute;left:0;text-align:left;margin-left:167.95pt;margin-top:73.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" o:allowincell="f" filled="f" stroked="f">
              <v:textbox>
                <w:txbxContent>
                  <w:p w14:paraId="1EE51FEA" w14:textId="77777777" w:rsidR="00F82C75" w:rsidRDefault="006C2D47">
                    <w:pPr>
                      <w:pStyle w:val="2izenburua"/>
                      <w:spacing w:after="35"/>
                    </w:pPr>
                    <w:r w:rsidRPr="006C2D47">
                      <w:t>KULTURA ETA HIZKUNTZA POLITIKA SAILA</w:t>
                    </w:r>
                  </w:p>
                  <w:p w14:paraId="1EE51FEB" w14:textId="77777777" w:rsidR="00F82C75" w:rsidRDefault="00862314">
                    <w:pPr>
                      <w:pStyle w:val="4izenburua"/>
                    </w:pPr>
                    <w:proofErr w:type="spellStart"/>
                    <w:r>
                      <w:t>Jarduera</w:t>
                    </w:r>
                    <w:proofErr w:type="spellEnd"/>
                    <w:r>
                      <w:t xml:space="preserve"> </w:t>
                    </w:r>
                    <w:proofErr w:type="spellStart"/>
                    <w:r>
                      <w:t>Fisikoaren</w:t>
                    </w:r>
                    <w:proofErr w:type="spellEnd"/>
                    <w:r>
                      <w:t xml:space="preserve"> eta </w:t>
                    </w:r>
                    <w:proofErr w:type="spellStart"/>
                    <w:r w:rsidR="00404B50">
                      <w:t>Kiro</w:t>
                    </w:r>
                    <w:r>
                      <w:t>laren</w:t>
                    </w:r>
                    <w:proofErr w:type="spellEnd"/>
                    <w:r>
                      <w:t xml:space="preserve"> </w:t>
                    </w:r>
                    <w:r w:rsidR="0057469E">
                      <w:t>Zuzendaritza</w:t>
                    </w:r>
                  </w:p>
                </w:txbxContent>
              </v:textbox>
              <w10:wrap type="square" anchorx="page" anchory="page"/>
            </v:shape>
          </w:pict>
        </mc:Fallback>
      </mc:AlternateContent>
    </w:r>
    <w:r>
      <w:rPr>
        <w:noProof/>
        <w:lang w:val="eu-ES" w:eastAsia="eu-ES"/>
      </w:rPr>
      <mc:AlternateContent>
        <mc:Choice Requires="wps">
          <w:drawing>
            <wp:anchor distT="0" distB="0" distL="114300" distR="114300" simplePos="0" relativeHeight="251658240" behindDoc="0" locked="0" layoutInCell="0" allowOverlap="1" wp14:anchorId="1EE51FE3" wp14:editId="1A841EAB">
              <wp:simplePos x="0" y="0"/>
              <wp:positionH relativeFrom="page">
                <wp:posOffset>4038600</wp:posOffset>
              </wp:positionH>
              <wp:positionV relativeFrom="page">
                <wp:posOffset>929640</wp:posOffset>
              </wp:positionV>
              <wp:extent cx="1908810"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51FE8" w14:textId="77777777" w:rsidR="00F82C75" w:rsidRDefault="006C2D47">
                          <w:pPr>
                            <w:pStyle w:val="2izenburua"/>
                            <w:spacing w:after="35"/>
                          </w:pPr>
                          <w:r w:rsidRPr="006C2D47">
                            <w:t>DEPARTAMENTO DE CULTURA</w:t>
                          </w:r>
                          <w:r w:rsidR="00815541">
                            <w:br/>
                          </w:r>
                          <w:r w:rsidRPr="006C2D47">
                            <w:t>Y POLÍTICA LINGÜÍSTICA</w:t>
                          </w:r>
                        </w:p>
                        <w:p w14:paraId="1EE51FE9" w14:textId="77777777" w:rsidR="00F82C75" w:rsidRDefault="00F82C75">
                          <w:pPr>
                            <w:pStyle w:val="4izenburua"/>
                          </w:pPr>
                          <w:r>
                            <w:t xml:space="preserve">Dirección </w:t>
                          </w:r>
                          <w:r w:rsidR="00862314">
                            <w:t>Actividad Física y</w:t>
                          </w:r>
                          <w:r>
                            <w:t xml:space="preserve"> </w:t>
                          </w:r>
                          <w:r w:rsidR="00862314">
                            <w:t>Deporte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51FE3" id="Text Box 2" o:spid="_x0000_s1027" type="#_x0000_t202" style="position:absolute;left:0;text-align:left;margin-left:318pt;margin-top:73.2pt;width:150.3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N6tQIAALk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" o:allowincell="f" filled="f" stroked="f">
              <v:textbox>
                <w:txbxContent>
                  <w:p w14:paraId="1EE51FE8" w14:textId="77777777" w:rsidR="00F82C75" w:rsidRDefault="006C2D47">
                    <w:pPr>
                      <w:pStyle w:val="2izenburua"/>
                      <w:spacing w:after="35"/>
                    </w:pPr>
                    <w:r w:rsidRPr="006C2D47">
                      <w:t>DEPARTAMENTO DE CULTURA</w:t>
                    </w:r>
                    <w:r w:rsidR="00815541">
                      <w:br/>
                    </w:r>
                    <w:r w:rsidRPr="006C2D47">
                      <w:t>Y POLÍTICA LINGÜÍSTICA</w:t>
                    </w:r>
                  </w:p>
                  <w:p w14:paraId="1EE51FE9" w14:textId="77777777" w:rsidR="00F82C75" w:rsidRDefault="00F82C75">
                    <w:pPr>
                      <w:pStyle w:val="4izenburua"/>
                    </w:pPr>
                    <w:r>
                      <w:t xml:space="preserve">Dirección </w:t>
                    </w:r>
                    <w:r w:rsidR="00862314">
                      <w:t>Actividad Física y</w:t>
                    </w:r>
                    <w:r>
                      <w:t xml:space="preserve"> </w:t>
                    </w:r>
                    <w:r w:rsidR="00862314">
                      <w:t>Deporte</w:t>
                    </w:r>
                  </w:p>
                </w:txbxContent>
              </v:textbox>
              <w10:wrap type="square" anchorx="page" anchory="page"/>
            </v:shape>
          </w:pict>
        </mc:Fallback>
      </mc:AlternateContent>
    </w:r>
  </w:p>
  <w:p w14:paraId="1EE51FDA" w14:textId="7CA55F14" w:rsidR="00F82C75" w:rsidRDefault="00F82C75">
    <w:pPr>
      <w:pStyle w:val="Goiburua"/>
      <w:tabs>
        <w:tab w:val="right" w:pos="9923"/>
      </w:tabs>
      <w:ind w:right="-142"/>
      <w:jc w:val="center"/>
      <w:rPr>
        <w:rFonts w:ascii="Arial" w:hAnsi="Arial"/>
        <w:sz w:val="16"/>
      </w:rPr>
    </w:pPr>
  </w:p>
  <w:p w14:paraId="1EE51FDB" w14:textId="35221CB7" w:rsidR="00F82C75" w:rsidRDefault="00F82C75">
    <w:pPr>
      <w:pStyle w:val="Goiburua"/>
      <w:tabs>
        <w:tab w:val="right" w:pos="9923"/>
      </w:tabs>
      <w:ind w:right="-142"/>
      <w:jc w:val="center"/>
      <w:rPr>
        <w:rFonts w:ascii="Arial" w:hAnsi="Arial"/>
        <w:sz w:val="16"/>
      </w:rPr>
    </w:pPr>
  </w:p>
  <w:p w14:paraId="1EE51FDC" w14:textId="534BEC8C" w:rsidR="00F82C75" w:rsidRDefault="00F82C75">
    <w:pPr>
      <w:pStyle w:val="Goiburua"/>
      <w:tabs>
        <w:tab w:val="right" w:pos="9923"/>
      </w:tabs>
      <w:ind w:right="-142"/>
      <w:jc w:val="center"/>
      <w:rPr>
        <w:rFonts w:ascii="Arial" w:hAnsi="Arial"/>
        <w:sz w:val="16"/>
      </w:rPr>
    </w:pPr>
  </w:p>
  <w:p w14:paraId="1EE51FDD" w14:textId="130DD9E7" w:rsidR="00F82C75" w:rsidRDefault="00F82C75">
    <w:pPr>
      <w:pStyle w:val="Goiburua"/>
      <w:tabs>
        <w:tab w:val="right" w:pos="9923"/>
      </w:tabs>
      <w:ind w:right="-142"/>
      <w:jc w:val="center"/>
      <w:rPr>
        <w:rFonts w:ascii="Arial" w:hAnsi="Arial"/>
        <w:sz w:val="16"/>
      </w:rPr>
    </w:pPr>
  </w:p>
  <w:p w14:paraId="1EE51FDE" w14:textId="39E0E29A" w:rsidR="00F82C75" w:rsidRDefault="00F82C75">
    <w:pPr>
      <w:pStyle w:val="Goiburua"/>
      <w:tabs>
        <w:tab w:val="right" w:pos="9923"/>
      </w:tabs>
      <w:ind w:right="-142"/>
      <w:rPr>
        <w:rFonts w:ascii="Arial" w:hAnsi="Arial"/>
        <w:sz w:val="16"/>
      </w:rPr>
    </w:pPr>
  </w:p>
  <w:p w14:paraId="1EE51FDF" w14:textId="6501B018" w:rsidR="00F82C75" w:rsidRDefault="00F82C75">
    <w:pPr>
      <w:pStyle w:val="Goiburua"/>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C7186"/>
    <w:multiLevelType w:val="hybridMultilevel"/>
    <w:tmpl w:val="E3747D6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843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14"/>
    <w:rsid w:val="001C18B0"/>
    <w:rsid w:val="00254BE3"/>
    <w:rsid w:val="002969EC"/>
    <w:rsid w:val="003A1941"/>
    <w:rsid w:val="003D4147"/>
    <w:rsid w:val="00404B50"/>
    <w:rsid w:val="00405F21"/>
    <w:rsid w:val="00423F5B"/>
    <w:rsid w:val="0047385A"/>
    <w:rsid w:val="00496497"/>
    <w:rsid w:val="004B589E"/>
    <w:rsid w:val="004F305E"/>
    <w:rsid w:val="0057469E"/>
    <w:rsid w:val="00595CD1"/>
    <w:rsid w:val="005F1681"/>
    <w:rsid w:val="005F5BE0"/>
    <w:rsid w:val="00605177"/>
    <w:rsid w:val="006157FC"/>
    <w:rsid w:val="006C2D47"/>
    <w:rsid w:val="00794E27"/>
    <w:rsid w:val="00815541"/>
    <w:rsid w:val="00834EA9"/>
    <w:rsid w:val="00862314"/>
    <w:rsid w:val="00940AA6"/>
    <w:rsid w:val="009576AE"/>
    <w:rsid w:val="00A714E9"/>
    <w:rsid w:val="00AF10D0"/>
    <w:rsid w:val="00BA6AA6"/>
    <w:rsid w:val="00BB2799"/>
    <w:rsid w:val="00C46DDC"/>
    <w:rsid w:val="00C5770E"/>
    <w:rsid w:val="00C703A2"/>
    <w:rsid w:val="00C90FAE"/>
    <w:rsid w:val="00D3142A"/>
    <w:rsid w:val="00E65493"/>
    <w:rsid w:val="00F06A48"/>
    <w:rsid w:val="00F138FF"/>
    <w:rsid w:val="00F2157B"/>
    <w:rsid w:val="00F31EB9"/>
    <w:rsid w:val="00F82C75"/>
    <w:rsid w:val="00FD1B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5"/>
    <o:shapelayout v:ext="edit">
      <o:idmap v:ext="edit" data="1"/>
    </o:shapelayout>
  </w:shapeDefaults>
  <w:decimalSymbol w:val=","/>
  <w:listSeparator w:val=";"/>
  <w14:docId w14:val="1EE51FCE"/>
  <w15:docId w15:val="{A507FE35-75FE-4429-8E91-1FFC1711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F138FF"/>
    <w:rPr>
      <w:sz w:val="24"/>
      <w:lang w:val="es-ES_tradnl" w:eastAsia="es-ES_tradnl"/>
    </w:rPr>
  </w:style>
  <w:style w:type="paragraph" w:styleId="1izenburua">
    <w:name w:val="heading 1"/>
    <w:basedOn w:val="Normala"/>
    <w:next w:val="Normala"/>
    <w:qFormat/>
    <w:pPr>
      <w:spacing w:before="240"/>
      <w:outlineLvl w:val="0"/>
    </w:pPr>
    <w:rPr>
      <w:rFonts w:ascii="Arial" w:hAnsi="Arial"/>
      <w:b/>
      <w:u w:val="single"/>
    </w:rPr>
  </w:style>
  <w:style w:type="paragraph" w:styleId="2izenburua">
    <w:name w:val="heading 2"/>
    <w:basedOn w:val="Normala"/>
    <w:next w:val="Normala"/>
    <w:qFormat/>
    <w:pPr>
      <w:keepNext/>
      <w:outlineLvl w:val="1"/>
    </w:pPr>
    <w:rPr>
      <w:rFonts w:ascii="Arial" w:hAnsi="Arial"/>
      <w:b/>
      <w:sz w:val="14"/>
    </w:rPr>
  </w:style>
  <w:style w:type="paragraph" w:styleId="3izenburua">
    <w:name w:val="heading 3"/>
    <w:basedOn w:val="Normala"/>
    <w:next w:val="Normala"/>
    <w:qFormat/>
    <w:pPr>
      <w:keepNext/>
      <w:spacing w:before="20"/>
      <w:outlineLvl w:val="2"/>
    </w:pPr>
    <w:rPr>
      <w:rFonts w:ascii="Arial" w:hAnsi="Arial"/>
      <w:i/>
      <w:sz w:val="13"/>
    </w:rPr>
  </w:style>
  <w:style w:type="paragraph" w:styleId="4izenburua">
    <w:name w:val="heading 4"/>
    <w:basedOn w:val="Normala"/>
    <w:next w:val="Normala"/>
    <w:qFormat/>
    <w:pPr>
      <w:keepNext/>
      <w:spacing w:before="35"/>
      <w:outlineLvl w:val="3"/>
    </w:pPr>
    <w:rPr>
      <w:rFonts w:ascii="Arial" w:hAnsi="Arial"/>
      <w:i/>
      <w:sz w:val="1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Iruzkinarenerreferentzia">
    <w:name w:val="annotation reference"/>
    <w:basedOn w:val="Paragrafoarenletra-tipolehenetsia"/>
    <w:semiHidden/>
    <w:rPr>
      <w:sz w:val="16"/>
    </w:rPr>
  </w:style>
  <w:style w:type="paragraph" w:styleId="Iruzkinarentestua">
    <w:name w:val="annotation text"/>
    <w:basedOn w:val="Normala"/>
    <w:semiHidden/>
    <w:rPr>
      <w:sz w:val="20"/>
    </w:rPr>
  </w:style>
  <w:style w:type="paragraph" w:styleId="Orri-oina">
    <w:name w:val="footer"/>
    <w:basedOn w:val="Normala"/>
    <w:pPr>
      <w:tabs>
        <w:tab w:val="center" w:pos="4819"/>
        <w:tab w:val="right" w:pos="9071"/>
      </w:tabs>
    </w:pPr>
  </w:style>
  <w:style w:type="paragraph" w:styleId="Goiburua">
    <w:name w:val="header"/>
    <w:basedOn w:val="Normala"/>
    <w:pPr>
      <w:tabs>
        <w:tab w:val="center" w:pos="4819"/>
        <w:tab w:val="right" w:pos="9071"/>
      </w:tabs>
    </w:pPr>
  </w:style>
  <w:style w:type="paragraph" w:customStyle="1" w:styleId="Destinatario">
    <w:name w:val="Destinatario"/>
    <w:basedOn w:val="Normala"/>
    <w:pPr>
      <w:ind w:left="4253"/>
    </w:pPr>
  </w:style>
  <w:style w:type="paragraph" w:customStyle="1" w:styleId="Subparrafo1">
    <w:name w:val="Subparrafo1"/>
    <w:basedOn w:val="Normala"/>
    <w:pPr>
      <w:ind w:left="284" w:hanging="142"/>
    </w:pPr>
  </w:style>
  <w:style w:type="paragraph" w:customStyle="1" w:styleId="Titulo">
    <w:name w:val="Titulo"/>
    <w:basedOn w:val="Normala"/>
    <w:pPr>
      <w:jc w:val="center"/>
    </w:pPr>
    <w:rPr>
      <w:b/>
      <w:sz w:val="30"/>
    </w:rPr>
  </w:style>
  <w:style w:type="paragraph" w:customStyle="1" w:styleId="BOPVDetalle">
    <w:name w:val="BOPVDetalle"/>
    <w:rsid w:val="00254BE3"/>
    <w:pPr>
      <w:widowControl w:val="0"/>
      <w:spacing w:after="220"/>
      <w:ind w:firstLine="425"/>
    </w:pPr>
    <w:rPr>
      <w:rFonts w:ascii="Arial" w:hAnsi="Arial"/>
      <w:sz w:val="22"/>
      <w:szCs w:val="22"/>
      <w:lang w:val="eu-ES" w:eastAsia="es-ES_tradnl"/>
    </w:rPr>
  </w:style>
  <w:style w:type="paragraph" w:customStyle="1" w:styleId="BOPVClave">
    <w:name w:val="BOPVClave"/>
    <w:basedOn w:val="BOPVDetalle"/>
    <w:rsid w:val="00254BE3"/>
    <w:pPr>
      <w:ind w:firstLine="0"/>
      <w:jc w:val="center"/>
    </w:pPr>
    <w:rPr>
      <w:caps/>
    </w:rPr>
  </w:style>
  <w:style w:type="paragraph" w:customStyle="1" w:styleId="BOPVDisposicion">
    <w:name w:val="BOPVDisposicion"/>
    <w:basedOn w:val="BOPVClave"/>
    <w:rsid w:val="00254BE3"/>
    <w:pPr>
      <w:jc w:val="left"/>
    </w:pPr>
  </w:style>
  <w:style w:type="paragraph" w:customStyle="1" w:styleId="BOPVFirmaLugFec">
    <w:name w:val="BOPVFirmaLugFec"/>
    <w:basedOn w:val="BOPVDetalle"/>
    <w:rsid w:val="00254BE3"/>
  </w:style>
  <w:style w:type="paragraph" w:customStyle="1" w:styleId="BOPVNombreLehen1">
    <w:name w:val="BOPVNombreLehen1"/>
    <w:basedOn w:val="Normala"/>
    <w:rsid w:val="00254BE3"/>
    <w:pPr>
      <w:widowControl w:val="0"/>
      <w:spacing w:after="220"/>
      <w:jc w:val="center"/>
    </w:pPr>
    <w:rPr>
      <w:rFonts w:ascii="Arial" w:hAnsi="Arial"/>
      <w:caps/>
      <w:sz w:val="22"/>
      <w:szCs w:val="22"/>
      <w:lang w:val="eu-ES"/>
    </w:rPr>
  </w:style>
  <w:style w:type="paragraph" w:customStyle="1" w:styleId="BOPVPuestoLehen1">
    <w:name w:val="BOPVPuestoLehen1"/>
    <w:basedOn w:val="Normala"/>
    <w:rsid w:val="00254BE3"/>
    <w:pPr>
      <w:widowControl w:val="0"/>
      <w:jc w:val="center"/>
    </w:pPr>
    <w:rPr>
      <w:rFonts w:ascii="Arial" w:hAnsi="Arial"/>
      <w:sz w:val="22"/>
      <w:szCs w:val="22"/>
      <w:lang w:val="eu-ES"/>
    </w:rPr>
  </w:style>
  <w:style w:type="paragraph" w:customStyle="1" w:styleId="BOPVTitulo">
    <w:name w:val="BOPVTitulo"/>
    <w:basedOn w:val="BOPVDetalle"/>
    <w:rsid w:val="00254BE3"/>
    <w:pPr>
      <w:ind w:left="425"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4810">
      <w:bodyDiv w:val="1"/>
      <w:marLeft w:val="0"/>
      <w:marRight w:val="0"/>
      <w:marTop w:val="0"/>
      <w:marBottom w:val="0"/>
      <w:divBdr>
        <w:top w:val="none" w:sz="0" w:space="0" w:color="auto"/>
        <w:left w:val="none" w:sz="0" w:space="0" w:color="auto"/>
        <w:bottom w:val="none" w:sz="0" w:space="0" w:color="auto"/>
        <w:right w:val="none" w:sz="0" w:space="0" w:color="auto"/>
      </w:divBdr>
    </w:div>
    <w:div w:id="474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ZERBITZU%20BURUA\ELI\CARTAS\2017\PLANTILLAK\Kirol%20zuzendaritz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a" ma:contentTypeID="0x0101009C0FB781A6AFC342916CD1DEA0B987C0" ma:contentTypeVersion="11" ma:contentTypeDescription="Sortu dokumentu berri bat." ma:contentTypeScope="" ma:versionID="d8b93301b9e770a5b820c049dd829a3b">
  <xsd:schema xmlns:xsd="http://www.w3.org/2001/XMLSchema" xmlns:xs="http://www.w3.org/2001/XMLSchema" xmlns:p="http://schemas.microsoft.com/office/2006/metadata/properties" xmlns:ns2="8c35392d-4ec5-4c96-a9bc-d6c97c77fa09" xmlns:ns3="624f3b94-bbc5-4573-aeef-0eaada64f22b" targetNamespace="http://schemas.microsoft.com/office/2006/metadata/properties" ma:root="true" ma:fieldsID="5ee5044d89aca4b3c9b342bb6c1a9e15" ns2:_="" ns3:_="">
    <xsd:import namespace="8c35392d-4ec5-4c96-a9bc-d6c97c77fa09"/>
    <xsd:import namespace="624f3b94-bbc5-4573-aeef-0eaada64f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5392d-4ec5-4c96-a9bc-d6c97c77f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f3b94-bbc5-4573-aeef-0eaada64f22b"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45A31-DE8C-4707-AF52-B444E998261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624f3b94-bbc5-4573-aeef-0eaada64f22b"/>
    <ds:schemaRef ds:uri="http://schemas.openxmlformats.org/package/2006/metadata/core-properties"/>
    <ds:schemaRef ds:uri="8c35392d-4ec5-4c96-a9bc-d6c97c77fa09"/>
    <ds:schemaRef ds:uri="http://www.w3.org/XML/1998/namespace"/>
  </ds:schemaRefs>
</ds:datastoreItem>
</file>

<file path=customXml/itemProps2.xml><?xml version="1.0" encoding="utf-8"?>
<ds:datastoreItem xmlns:ds="http://schemas.openxmlformats.org/officeDocument/2006/customXml" ds:itemID="{0D90D84A-F06D-45EC-9706-744730504342}">
  <ds:schemaRefs>
    <ds:schemaRef ds:uri="http://schemas.microsoft.com/sharepoint/v3/contenttype/forms"/>
  </ds:schemaRefs>
</ds:datastoreItem>
</file>

<file path=customXml/itemProps3.xml><?xml version="1.0" encoding="utf-8"?>
<ds:datastoreItem xmlns:ds="http://schemas.openxmlformats.org/officeDocument/2006/customXml" ds:itemID="{66F5920E-CE4E-4F43-A2EE-76700288B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5392d-4ec5-4c96-a9bc-d6c97c77fa09"/>
    <ds:schemaRef ds:uri="624f3b94-bbc5-4573-aeef-0eaada64f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Kirol zuzendaritza-.dotx</Template>
  <TotalTime>2</TotalTime>
  <Pages>9</Pages>
  <Words>3268</Words>
  <Characters>24117</Characters>
  <Application>Microsoft Office Word</Application>
  <DocSecurity>0</DocSecurity>
  <Lines>200</Lines>
  <Paragraphs>54</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27331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Altube Bengoa, Elisabet</dc:creator>
  <cp:lastModifiedBy>Azcarate Vergara, Izaskun</cp:lastModifiedBy>
  <cp:revision>3</cp:revision>
  <cp:lastPrinted>1999-10-14T06:58:00Z</cp:lastPrinted>
  <dcterms:created xsi:type="dcterms:W3CDTF">2021-04-06T10:21:00Z</dcterms:created>
  <dcterms:modified xsi:type="dcterms:W3CDTF">2021-04-06T10:39:00Z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0x0101009C0FB781A6AFC342916CD1DEA0B987C0</vt:lpwstr>
  </property>
</Properties>
</file>